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FEC7" w14:textId="77777777" w:rsidR="00F53916" w:rsidRPr="00F53916" w:rsidRDefault="00F53916" w:rsidP="00F53916">
      <w:pPr>
        <w:pStyle w:val="Prrafodelista"/>
        <w:spacing w:line="276" w:lineRule="auto"/>
        <w:jc w:val="center"/>
        <w:rPr>
          <w:rFonts w:eastAsia="Times New Roman" w:cstheme="minorHAnsi"/>
          <w:b/>
          <w:bCs/>
          <w:color w:val="002060"/>
          <w:sz w:val="40"/>
          <w:szCs w:val="40"/>
        </w:rPr>
      </w:pPr>
      <w:r w:rsidRPr="00F53916">
        <w:rPr>
          <w:rFonts w:eastAsia="Times New Roman" w:cstheme="minorHAnsi"/>
          <w:b/>
          <w:bCs/>
          <w:color w:val="002060"/>
          <w:sz w:val="40"/>
          <w:szCs w:val="40"/>
        </w:rPr>
        <w:t>Novedades de la Ley de Ordenación y Atención Farmacéutica de la Comunidad de Madrid</w:t>
      </w:r>
    </w:p>
    <w:p w14:paraId="507CE7B7" w14:textId="77777777" w:rsidR="00F53916" w:rsidRPr="00F53916" w:rsidRDefault="00F53916" w:rsidP="00F53916">
      <w:pPr>
        <w:pStyle w:val="Prrafodelista"/>
        <w:spacing w:line="276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</w:rPr>
      </w:pPr>
    </w:p>
    <w:p w14:paraId="62D245FF" w14:textId="77777777" w:rsidR="00F53916" w:rsidRPr="00F53916" w:rsidRDefault="00F53916" w:rsidP="00F53916">
      <w:pPr>
        <w:pStyle w:val="Prrafodelista"/>
        <w:spacing w:line="276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</w:rPr>
      </w:pPr>
    </w:p>
    <w:p w14:paraId="37D444C5" w14:textId="77777777" w:rsidR="00F53916" w:rsidRPr="00F53916" w:rsidRDefault="00F53916" w:rsidP="00F53916">
      <w:pPr>
        <w:pStyle w:val="Prrafodelista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b/>
          <w:bCs/>
          <w:i/>
          <w:iCs/>
          <w:color w:val="00B050"/>
          <w:sz w:val="30"/>
          <w:szCs w:val="30"/>
        </w:rPr>
      </w:pPr>
      <w:r w:rsidRPr="00F53916">
        <w:rPr>
          <w:rFonts w:eastAsia="Times New Roman" w:cstheme="minorHAnsi"/>
          <w:b/>
          <w:bCs/>
          <w:i/>
          <w:iCs/>
          <w:color w:val="00B050"/>
          <w:sz w:val="30"/>
          <w:szCs w:val="30"/>
        </w:rPr>
        <w:t xml:space="preserve">El marco competencial del farmacéutico se amplía y se adapta a la realidad social y sanitaria, mejorando las funciones y la colaboración entre los tres niveles asistenciales: Primaria, Comunitaria y Hospitalaria </w:t>
      </w:r>
    </w:p>
    <w:p w14:paraId="655EFA14" w14:textId="77777777" w:rsidR="00F53916" w:rsidRPr="00F53916" w:rsidRDefault="00F53916" w:rsidP="00F53916">
      <w:pPr>
        <w:pStyle w:val="Prrafodelista"/>
        <w:spacing w:line="276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</w:rPr>
      </w:pPr>
    </w:p>
    <w:p w14:paraId="07ACBA2B" w14:textId="77777777" w:rsidR="00F53916" w:rsidRPr="00F53916" w:rsidRDefault="00F53916" w:rsidP="00F53916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>Amplía las funciones de las oficinas de farmacia y el rol sociosanitario de los farmacéuticos al potenciar su papel asistencial en la prevención de enfermedades, la promoción de hábitos de vida saludables o en el seguimiento farmacoterapéutico, según el tipo de pacientes que necesiten este servicio, tanto crónicos como agudos, polimedicados y dependientes (</w:t>
      </w:r>
      <w:r w:rsidRPr="00F53916">
        <w:rPr>
          <w:rFonts w:cstheme="minorHAnsi"/>
          <w:b/>
          <w:bCs/>
          <w:sz w:val="28"/>
          <w:szCs w:val="28"/>
        </w:rPr>
        <w:t>artículo 3 y 11</w:t>
      </w:r>
      <w:r w:rsidRPr="00F53916">
        <w:rPr>
          <w:rFonts w:cstheme="minorHAnsi"/>
          <w:sz w:val="28"/>
          <w:szCs w:val="28"/>
        </w:rPr>
        <w:t xml:space="preserve">). </w:t>
      </w:r>
    </w:p>
    <w:p w14:paraId="086EC27D" w14:textId="77777777" w:rsidR="00F53916" w:rsidRPr="00F53916" w:rsidRDefault="00F53916" w:rsidP="00F53916">
      <w:pPr>
        <w:pStyle w:val="Prrafodelista"/>
        <w:spacing w:line="240" w:lineRule="auto"/>
        <w:jc w:val="both"/>
        <w:rPr>
          <w:rFonts w:cstheme="minorHAnsi"/>
          <w:sz w:val="28"/>
          <w:szCs w:val="28"/>
        </w:rPr>
      </w:pPr>
    </w:p>
    <w:p w14:paraId="1C27F819" w14:textId="77777777" w:rsidR="00F53916" w:rsidRPr="00F53916" w:rsidRDefault="00F53916" w:rsidP="00F53916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>Incorpora la “</w:t>
      </w:r>
      <w:r w:rsidRPr="00F53916">
        <w:rPr>
          <w:rFonts w:cstheme="minorHAnsi"/>
          <w:b/>
          <w:bCs/>
          <w:sz w:val="28"/>
          <w:szCs w:val="28"/>
        </w:rPr>
        <w:t>indicación farmacéutica</w:t>
      </w:r>
      <w:r w:rsidRPr="00F53916">
        <w:rPr>
          <w:rFonts w:cstheme="minorHAnsi"/>
          <w:sz w:val="28"/>
          <w:szCs w:val="28"/>
        </w:rPr>
        <w:t>” de medicamentos que no requieren prescripción médica, la revisión y conciliación de medicamentos, la participación en estudios epidemiológicos o la actuación coordinada con las estructuras asistenciales, entre otros servicios regulados que podrán prestar los farmacéuticos.</w:t>
      </w:r>
    </w:p>
    <w:p w14:paraId="4465A3E2" w14:textId="77777777" w:rsidR="00F53916" w:rsidRPr="00F53916" w:rsidRDefault="00F53916" w:rsidP="00F53916">
      <w:pPr>
        <w:pStyle w:val="Prrafodelista"/>
        <w:spacing w:line="240" w:lineRule="auto"/>
        <w:jc w:val="both"/>
        <w:rPr>
          <w:rFonts w:cstheme="minorHAnsi"/>
          <w:sz w:val="28"/>
          <w:szCs w:val="28"/>
        </w:rPr>
      </w:pPr>
    </w:p>
    <w:p w14:paraId="0A4CF5EA" w14:textId="77777777" w:rsidR="00F53916" w:rsidRPr="00F53916" w:rsidRDefault="00F53916" w:rsidP="00F53916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>La nueva norma valora y define la dispensación farmacéutica como “</w:t>
      </w:r>
      <w:r w:rsidRPr="00F53916">
        <w:rPr>
          <w:rFonts w:cstheme="minorHAnsi"/>
          <w:b/>
          <w:bCs/>
          <w:sz w:val="28"/>
          <w:szCs w:val="28"/>
        </w:rPr>
        <w:t>acto profesional asistencial”</w:t>
      </w:r>
      <w:r w:rsidRPr="00F53916">
        <w:rPr>
          <w:rFonts w:cstheme="minorHAnsi"/>
          <w:sz w:val="28"/>
          <w:szCs w:val="28"/>
        </w:rPr>
        <w:t xml:space="preserve"> (</w:t>
      </w:r>
      <w:r w:rsidRPr="00F53916">
        <w:rPr>
          <w:rFonts w:cstheme="minorHAnsi"/>
          <w:b/>
          <w:bCs/>
          <w:sz w:val="28"/>
          <w:szCs w:val="28"/>
        </w:rPr>
        <w:t>artículo 3</w:t>
      </w:r>
      <w:r w:rsidRPr="00F53916">
        <w:rPr>
          <w:rFonts w:cstheme="minorHAnsi"/>
          <w:sz w:val="28"/>
          <w:szCs w:val="28"/>
        </w:rPr>
        <w:t xml:space="preserve">) y recoge, por primera vez, el concepto de </w:t>
      </w:r>
      <w:r w:rsidRPr="00F53916">
        <w:rPr>
          <w:rFonts w:cstheme="minorHAnsi"/>
          <w:b/>
          <w:bCs/>
          <w:sz w:val="28"/>
          <w:szCs w:val="28"/>
        </w:rPr>
        <w:t>“indicación farmacéutica”</w:t>
      </w:r>
      <w:r w:rsidRPr="00F53916">
        <w:rPr>
          <w:rFonts w:cstheme="minorHAnsi"/>
          <w:sz w:val="28"/>
          <w:szCs w:val="28"/>
        </w:rPr>
        <w:t xml:space="preserve"> (</w:t>
      </w:r>
      <w:r w:rsidRPr="00F53916">
        <w:rPr>
          <w:rFonts w:cstheme="minorHAnsi"/>
          <w:b/>
          <w:bCs/>
          <w:sz w:val="28"/>
          <w:szCs w:val="28"/>
        </w:rPr>
        <w:t>artículo 3.5</w:t>
      </w:r>
      <w:r w:rsidRPr="00F53916">
        <w:rPr>
          <w:rFonts w:cstheme="minorHAnsi"/>
          <w:sz w:val="28"/>
          <w:szCs w:val="28"/>
        </w:rPr>
        <w:t>), que supone un avance en la actividad profesional y el reconocimiento del farmacéutico como profesional experto en el uso de los medicamentos, reforzando la no dispensación por criterio profesional.</w:t>
      </w:r>
    </w:p>
    <w:p w14:paraId="4582B932" w14:textId="77777777" w:rsidR="00F53916" w:rsidRPr="00F53916" w:rsidRDefault="00F53916" w:rsidP="00F53916">
      <w:pPr>
        <w:pStyle w:val="Prrafodelista"/>
        <w:spacing w:line="240" w:lineRule="auto"/>
        <w:rPr>
          <w:rFonts w:cstheme="minorHAnsi"/>
          <w:sz w:val="28"/>
          <w:szCs w:val="28"/>
        </w:rPr>
      </w:pPr>
    </w:p>
    <w:p w14:paraId="43078CEE" w14:textId="77777777" w:rsidR="00F53916" w:rsidRPr="00F53916" w:rsidRDefault="00F53916" w:rsidP="00F539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53916">
        <w:rPr>
          <w:rFonts w:eastAsia="Times New Roman" w:cstheme="minorHAnsi"/>
          <w:sz w:val="28"/>
          <w:szCs w:val="28"/>
        </w:rPr>
        <w:t xml:space="preserve">Reconoce el </w:t>
      </w:r>
      <w:r w:rsidRPr="00F53916">
        <w:rPr>
          <w:rFonts w:eastAsia="Times New Roman" w:cstheme="minorHAnsi"/>
          <w:b/>
          <w:bCs/>
          <w:sz w:val="28"/>
          <w:szCs w:val="28"/>
        </w:rPr>
        <w:t>derecho</w:t>
      </w:r>
      <w:r w:rsidRPr="00F53916">
        <w:rPr>
          <w:rFonts w:eastAsia="Times New Roman" w:cstheme="minorHAnsi"/>
          <w:sz w:val="28"/>
          <w:szCs w:val="28"/>
        </w:rPr>
        <w:t xml:space="preserve"> del farmacéutico a solicitar la </w:t>
      </w:r>
      <w:r w:rsidRPr="00F53916">
        <w:rPr>
          <w:rFonts w:eastAsia="Times New Roman" w:cstheme="minorHAnsi"/>
          <w:b/>
          <w:bCs/>
          <w:sz w:val="28"/>
          <w:szCs w:val="28"/>
        </w:rPr>
        <w:t>identificación</w:t>
      </w:r>
      <w:r w:rsidRPr="00F53916">
        <w:rPr>
          <w:rFonts w:eastAsia="Times New Roman" w:cstheme="minorHAnsi"/>
          <w:sz w:val="28"/>
          <w:szCs w:val="28"/>
        </w:rPr>
        <w:t xml:space="preserve"> de los </w:t>
      </w:r>
      <w:r w:rsidRPr="00F53916">
        <w:rPr>
          <w:rFonts w:eastAsia="Times New Roman" w:cstheme="minorHAnsi"/>
          <w:b/>
          <w:bCs/>
          <w:sz w:val="28"/>
          <w:szCs w:val="28"/>
        </w:rPr>
        <w:t>inspectores</w:t>
      </w:r>
      <w:r w:rsidRPr="00F53916">
        <w:rPr>
          <w:rFonts w:eastAsia="Times New Roman" w:cstheme="minorHAnsi"/>
          <w:sz w:val="28"/>
          <w:szCs w:val="28"/>
        </w:rPr>
        <w:t xml:space="preserve"> y a la </w:t>
      </w:r>
      <w:r w:rsidRPr="00F53916">
        <w:rPr>
          <w:rFonts w:eastAsia="Times New Roman" w:cstheme="minorHAnsi"/>
          <w:b/>
          <w:bCs/>
          <w:sz w:val="28"/>
          <w:szCs w:val="28"/>
        </w:rPr>
        <w:t xml:space="preserve">objeción de conciencia </w:t>
      </w:r>
      <w:r w:rsidRPr="00F53916">
        <w:rPr>
          <w:rFonts w:eastAsia="Times New Roman" w:cstheme="minorHAnsi"/>
          <w:sz w:val="28"/>
          <w:szCs w:val="28"/>
        </w:rPr>
        <w:t>en el ejercicio de su profesión</w:t>
      </w:r>
      <w:r w:rsidRPr="00F53916">
        <w:rPr>
          <w:rFonts w:eastAsia="Times New Roman" w:cstheme="minorHAnsi"/>
          <w:b/>
          <w:bCs/>
          <w:sz w:val="28"/>
          <w:szCs w:val="28"/>
        </w:rPr>
        <w:t xml:space="preserve"> (artículo 5 y 6).</w:t>
      </w:r>
      <w:r w:rsidRPr="00F53916">
        <w:rPr>
          <w:rFonts w:cstheme="minorHAnsi"/>
          <w:sz w:val="28"/>
          <w:szCs w:val="28"/>
        </w:rPr>
        <w:t xml:space="preserve"> </w:t>
      </w:r>
    </w:p>
    <w:p w14:paraId="13B6512B" w14:textId="77777777" w:rsidR="00F53916" w:rsidRPr="00F53916" w:rsidRDefault="00F53916" w:rsidP="00F539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45495C4" w14:textId="77777777" w:rsidR="00F53916" w:rsidRPr="00F53916" w:rsidRDefault="00F53916" w:rsidP="00F539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 xml:space="preserve">Contempla las actuaciones en momentos de </w:t>
      </w:r>
      <w:r w:rsidRPr="00F53916">
        <w:rPr>
          <w:rFonts w:cstheme="minorHAnsi"/>
          <w:b/>
          <w:bCs/>
          <w:sz w:val="28"/>
          <w:szCs w:val="28"/>
        </w:rPr>
        <w:t>emergencia sanitaria</w:t>
      </w:r>
      <w:r w:rsidRPr="00F53916">
        <w:rPr>
          <w:rFonts w:cstheme="minorHAnsi"/>
          <w:sz w:val="28"/>
          <w:szCs w:val="28"/>
        </w:rPr>
        <w:t xml:space="preserve"> y el régimen de colaboración a raíz de la experiencia de la pandemia (</w:t>
      </w:r>
      <w:r w:rsidRPr="00F53916">
        <w:rPr>
          <w:rFonts w:cstheme="minorHAnsi"/>
          <w:b/>
          <w:bCs/>
          <w:sz w:val="28"/>
          <w:szCs w:val="28"/>
        </w:rPr>
        <w:t>artículo 9</w:t>
      </w:r>
      <w:r w:rsidRPr="00F53916">
        <w:rPr>
          <w:rFonts w:cstheme="minorHAnsi"/>
          <w:sz w:val="28"/>
          <w:szCs w:val="28"/>
        </w:rPr>
        <w:t>).</w:t>
      </w:r>
    </w:p>
    <w:p w14:paraId="4C02746B" w14:textId="77777777" w:rsidR="00F53916" w:rsidRPr="00F53916" w:rsidRDefault="00F53916" w:rsidP="00F539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538FC26" w14:textId="77777777" w:rsidR="00F53916" w:rsidRPr="00F53916" w:rsidRDefault="00F53916" w:rsidP="00F539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F53916">
        <w:rPr>
          <w:rFonts w:eastAsia="Times New Roman" w:cstheme="minorHAnsi"/>
          <w:sz w:val="28"/>
          <w:szCs w:val="28"/>
        </w:rPr>
        <w:t xml:space="preserve">Limita la </w:t>
      </w:r>
      <w:r w:rsidRPr="00F53916">
        <w:rPr>
          <w:rFonts w:eastAsia="Times New Roman" w:cstheme="minorHAnsi"/>
          <w:b/>
          <w:bCs/>
          <w:sz w:val="28"/>
          <w:szCs w:val="28"/>
        </w:rPr>
        <w:t>formulación magistral</w:t>
      </w:r>
      <w:r w:rsidRPr="00F53916">
        <w:rPr>
          <w:rFonts w:eastAsia="Times New Roman" w:cstheme="minorHAnsi"/>
          <w:sz w:val="28"/>
          <w:szCs w:val="28"/>
        </w:rPr>
        <w:t xml:space="preserve"> destinada a </w:t>
      </w:r>
      <w:r w:rsidRPr="00F53916">
        <w:rPr>
          <w:rFonts w:eastAsia="Times New Roman" w:cstheme="minorHAnsi"/>
          <w:b/>
          <w:bCs/>
          <w:sz w:val="28"/>
          <w:szCs w:val="28"/>
        </w:rPr>
        <w:t>uso veterinario</w:t>
      </w:r>
      <w:r w:rsidRPr="00F53916">
        <w:rPr>
          <w:rFonts w:eastAsia="Times New Roman" w:cstheme="minorHAnsi"/>
          <w:sz w:val="28"/>
          <w:szCs w:val="28"/>
        </w:rPr>
        <w:t xml:space="preserve"> a las oficinas de farmacia, de forma exclusiva. Un avance más en el rol de la farmacia con todo lo que se considera medicamento (</w:t>
      </w:r>
      <w:r w:rsidRPr="00F53916">
        <w:rPr>
          <w:rFonts w:eastAsia="Times New Roman" w:cstheme="minorHAnsi"/>
          <w:b/>
          <w:bCs/>
          <w:sz w:val="28"/>
          <w:szCs w:val="28"/>
        </w:rPr>
        <w:t>artículo 15.4</w:t>
      </w:r>
      <w:r w:rsidRPr="00F53916">
        <w:rPr>
          <w:rFonts w:eastAsia="Times New Roman" w:cstheme="minorHAnsi"/>
          <w:sz w:val="28"/>
          <w:szCs w:val="28"/>
        </w:rPr>
        <w:t>).</w:t>
      </w:r>
    </w:p>
    <w:p w14:paraId="462DF806" w14:textId="77777777" w:rsidR="00F53916" w:rsidRPr="00F53916" w:rsidRDefault="00F53916" w:rsidP="00F5391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6C90DD30" w14:textId="77777777" w:rsidR="00F53916" w:rsidRPr="00F53916" w:rsidRDefault="00F53916" w:rsidP="00F53916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F53916">
        <w:rPr>
          <w:rFonts w:eastAsia="Times New Roman" w:cstheme="minorHAnsi"/>
          <w:b/>
          <w:bCs/>
          <w:sz w:val="28"/>
          <w:szCs w:val="28"/>
        </w:rPr>
        <w:t>Reconoce</w:t>
      </w:r>
      <w:r w:rsidRPr="00F53916">
        <w:rPr>
          <w:rFonts w:eastAsia="Times New Roman" w:cstheme="minorHAnsi"/>
          <w:sz w:val="28"/>
          <w:szCs w:val="28"/>
        </w:rPr>
        <w:t xml:space="preserve"> las </w:t>
      </w:r>
      <w:r w:rsidRPr="00F53916">
        <w:rPr>
          <w:rFonts w:eastAsia="Times New Roman" w:cstheme="minorHAnsi"/>
          <w:b/>
          <w:bCs/>
          <w:sz w:val="28"/>
          <w:szCs w:val="28"/>
        </w:rPr>
        <w:t>funciones</w:t>
      </w:r>
      <w:r w:rsidRPr="00F53916">
        <w:rPr>
          <w:rFonts w:eastAsia="Times New Roman" w:cstheme="minorHAnsi"/>
          <w:sz w:val="28"/>
          <w:szCs w:val="28"/>
        </w:rPr>
        <w:t xml:space="preserve"> de los </w:t>
      </w:r>
      <w:r w:rsidRPr="00F53916">
        <w:rPr>
          <w:rFonts w:eastAsia="Times New Roman" w:cstheme="minorHAnsi"/>
          <w:b/>
          <w:bCs/>
          <w:sz w:val="28"/>
          <w:szCs w:val="28"/>
        </w:rPr>
        <w:t>Servicios</w:t>
      </w:r>
      <w:r w:rsidRPr="00F53916">
        <w:rPr>
          <w:rFonts w:eastAsia="Times New Roman" w:cstheme="minorHAnsi"/>
          <w:sz w:val="28"/>
          <w:szCs w:val="28"/>
        </w:rPr>
        <w:t xml:space="preserve"> </w:t>
      </w:r>
      <w:r w:rsidRPr="00F53916">
        <w:rPr>
          <w:rFonts w:eastAsia="Times New Roman" w:cstheme="minorHAnsi"/>
          <w:b/>
          <w:bCs/>
          <w:sz w:val="28"/>
          <w:szCs w:val="28"/>
        </w:rPr>
        <w:t xml:space="preserve">de farmacia </w:t>
      </w:r>
      <w:r w:rsidRPr="00F53916">
        <w:rPr>
          <w:rFonts w:eastAsia="Times New Roman" w:cstheme="minorHAnsi"/>
          <w:sz w:val="28"/>
          <w:szCs w:val="28"/>
        </w:rPr>
        <w:t xml:space="preserve">y de los </w:t>
      </w:r>
      <w:r w:rsidRPr="00F53916">
        <w:rPr>
          <w:rFonts w:eastAsia="Times New Roman" w:cstheme="minorHAnsi"/>
          <w:b/>
          <w:bCs/>
          <w:sz w:val="28"/>
          <w:szCs w:val="28"/>
        </w:rPr>
        <w:t xml:space="preserve">farmacéuticos en primaria </w:t>
      </w:r>
      <w:r w:rsidRPr="00F53916">
        <w:rPr>
          <w:rFonts w:eastAsia="Times New Roman" w:cstheme="minorHAnsi"/>
          <w:sz w:val="28"/>
          <w:szCs w:val="28"/>
        </w:rPr>
        <w:t xml:space="preserve">o en </w:t>
      </w:r>
      <w:r w:rsidRPr="00F53916">
        <w:rPr>
          <w:rFonts w:eastAsia="Times New Roman" w:cstheme="minorHAnsi"/>
          <w:b/>
          <w:bCs/>
          <w:sz w:val="28"/>
          <w:szCs w:val="28"/>
        </w:rPr>
        <w:t>farmacia hospitalaria</w:t>
      </w:r>
      <w:r w:rsidRPr="00F53916">
        <w:rPr>
          <w:rFonts w:eastAsia="Times New Roman" w:cstheme="minorHAnsi"/>
          <w:sz w:val="28"/>
          <w:szCs w:val="28"/>
        </w:rPr>
        <w:t xml:space="preserve"> específicos de su actividad (</w:t>
      </w:r>
      <w:r w:rsidRPr="00F53916">
        <w:rPr>
          <w:rFonts w:eastAsia="Times New Roman" w:cstheme="minorHAnsi"/>
          <w:b/>
          <w:bCs/>
          <w:sz w:val="28"/>
          <w:szCs w:val="28"/>
        </w:rPr>
        <w:t xml:space="preserve">artículos 34 a 41), </w:t>
      </w:r>
      <w:r w:rsidRPr="00F53916">
        <w:rPr>
          <w:rFonts w:eastAsia="Times New Roman" w:cstheme="minorHAnsi"/>
          <w:sz w:val="28"/>
          <w:szCs w:val="28"/>
        </w:rPr>
        <w:t xml:space="preserve">desde una óptica de la colaboración con los profesionales sanitarios de los diferentes ámbitos asistenciales. </w:t>
      </w:r>
    </w:p>
    <w:p w14:paraId="0C826091" w14:textId="77777777" w:rsidR="00F53916" w:rsidRPr="00F53916" w:rsidRDefault="00F53916" w:rsidP="00F53916">
      <w:pPr>
        <w:pStyle w:val="Prrafodelista"/>
        <w:jc w:val="both"/>
        <w:rPr>
          <w:rFonts w:cstheme="minorHAnsi"/>
          <w:b/>
          <w:bCs/>
          <w:sz w:val="28"/>
          <w:szCs w:val="28"/>
        </w:rPr>
      </w:pPr>
    </w:p>
    <w:p w14:paraId="00BF6456" w14:textId="77777777" w:rsidR="00F53916" w:rsidRPr="00F53916" w:rsidRDefault="00F53916" w:rsidP="00F53916">
      <w:pPr>
        <w:pStyle w:val="Prrafodelista"/>
        <w:rPr>
          <w:rFonts w:eastAsia="Times New Roman" w:cstheme="minorHAnsi"/>
          <w:sz w:val="28"/>
          <w:szCs w:val="28"/>
        </w:rPr>
      </w:pPr>
    </w:p>
    <w:p w14:paraId="4978D98F" w14:textId="77777777" w:rsidR="00F53916" w:rsidRPr="00F53916" w:rsidRDefault="00F53916" w:rsidP="00F53916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sz w:val="28"/>
          <w:szCs w:val="28"/>
        </w:rPr>
      </w:pPr>
      <w:r w:rsidRPr="00F53916">
        <w:rPr>
          <w:rFonts w:eastAsia="Times New Roman" w:cstheme="minorHAnsi"/>
          <w:b/>
          <w:bCs/>
          <w:sz w:val="28"/>
          <w:szCs w:val="28"/>
        </w:rPr>
        <w:t>Prevé la creación del Historial Farmacológico del usuario</w:t>
      </w:r>
      <w:r w:rsidRPr="00F53916">
        <w:rPr>
          <w:rFonts w:eastAsia="Times New Roman" w:cstheme="minorHAnsi"/>
          <w:sz w:val="28"/>
          <w:szCs w:val="28"/>
        </w:rPr>
        <w:t>, que recogerá la información clínica relevante relacionada con la medicación indicada, prescrita y dispensada al paciente por cualquier actor prescriptor o dispensador del sistema sanitario, ya sea público o privado (</w:t>
      </w:r>
      <w:r w:rsidRPr="00F53916">
        <w:rPr>
          <w:rFonts w:eastAsia="Times New Roman" w:cstheme="minorHAnsi"/>
          <w:b/>
          <w:bCs/>
          <w:sz w:val="28"/>
          <w:szCs w:val="28"/>
        </w:rPr>
        <w:t>Disposición adicional primera).</w:t>
      </w:r>
      <w:r w:rsidRPr="00F53916">
        <w:rPr>
          <w:rFonts w:eastAsia="Times New Roman" w:cstheme="minorHAnsi"/>
          <w:sz w:val="28"/>
          <w:szCs w:val="28"/>
        </w:rPr>
        <w:t xml:space="preserve"> Es un paso esencial para f</w:t>
      </w:r>
      <w:r w:rsidRPr="00F53916">
        <w:rPr>
          <w:rFonts w:cstheme="minorHAnsi"/>
          <w:sz w:val="28"/>
          <w:szCs w:val="28"/>
        </w:rPr>
        <w:t xml:space="preserve">omentar la cooperación de la farmacia comunitaria con los niveles de Atención Primaria y Farmacia Hospitalaria </w:t>
      </w:r>
      <w:r w:rsidRPr="00F53916">
        <w:rPr>
          <w:rFonts w:eastAsia="Times New Roman" w:cstheme="minorHAnsi"/>
          <w:sz w:val="28"/>
          <w:szCs w:val="28"/>
        </w:rPr>
        <w:t xml:space="preserve">que requerirá de desarrollo reglamentario. </w:t>
      </w:r>
      <w:r w:rsidRPr="00F53916">
        <w:rPr>
          <w:rFonts w:cstheme="minorHAnsi"/>
          <w:sz w:val="28"/>
          <w:szCs w:val="28"/>
        </w:rPr>
        <w:t xml:space="preserve">Este trabajo en equipo se potenciará con el acceso por parte del farmacéutico de oficina de farmacia a la </w:t>
      </w:r>
      <w:r w:rsidRPr="00F53916">
        <w:rPr>
          <w:rFonts w:cstheme="minorHAnsi"/>
          <w:b/>
          <w:bCs/>
          <w:sz w:val="28"/>
          <w:szCs w:val="28"/>
        </w:rPr>
        <w:t>Hoja de medicación del paciente</w:t>
      </w:r>
      <w:r w:rsidRPr="00F53916">
        <w:rPr>
          <w:rFonts w:cstheme="minorHAnsi"/>
          <w:sz w:val="28"/>
          <w:szCs w:val="28"/>
        </w:rPr>
        <w:t>, que permitirá reforzar la comunicación y la colaboración, con la finalidad de asegurar la máxima calidad de la prestación farmacéutica y el buen uso de los medicamentos y productos sanitarios.</w:t>
      </w:r>
    </w:p>
    <w:p w14:paraId="3C3F2422" w14:textId="77777777" w:rsidR="00F53916" w:rsidRPr="00F53916" w:rsidRDefault="00F53916" w:rsidP="00F53916">
      <w:pPr>
        <w:pStyle w:val="Prrafodelista"/>
        <w:jc w:val="both"/>
        <w:rPr>
          <w:rFonts w:eastAsia="Times New Roman" w:cstheme="minorHAnsi"/>
          <w:sz w:val="28"/>
          <w:szCs w:val="28"/>
        </w:rPr>
      </w:pPr>
    </w:p>
    <w:p w14:paraId="5D5A01D8" w14:textId="77777777" w:rsidR="00F53916" w:rsidRPr="00F53916" w:rsidRDefault="00F53916" w:rsidP="00F53916">
      <w:pPr>
        <w:rPr>
          <w:rFonts w:cstheme="minorHAnsi"/>
          <w:sz w:val="28"/>
          <w:szCs w:val="28"/>
        </w:rPr>
      </w:pPr>
    </w:p>
    <w:p w14:paraId="61059EF9" w14:textId="77777777" w:rsidR="00F53916" w:rsidRPr="00F53916" w:rsidRDefault="00F53916" w:rsidP="00F53916">
      <w:pPr>
        <w:pStyle w:val="Prrafodelista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b/>
          <w:bCs/>
          <w:i/>
          <w:iCs/>
          <w:color w:val="00B050"/>
          <w:sz w:val="36"/>
          <w:szCs w:val="36"/>
        </w:rPr>
      </w:pPr>
      <w:r w:rsidRPr="00F53916">
        <w:rPr>
          <w:rFonts w:eastAsia="Times New Roman" w:cstheme="minorHAnsi"/>
          <w:b/>
          <w:bCs/>
          <w:i/>
          <w:iCs/>
          <w:color w:val="00B050"/>
          <w:sz w:val="36"/>
          <w:szCs w:val="36"/>
        </w:rPr>
        <w:t xml:space="preserve">El modelo farmacéutico se reafirma al garantizar una planificación de oficinas de farmacia en la Comunidad de Madrid acorde a una ratio de habitantes más racional </w:t>
      </w:r>
    </w:p>
    <w:p w14:paraId="2FB098B0" w14:textId="77777777" w:rsidR="00F53916" w:rsidRPr="00F53916" w:rsidRDefault="00F53916" w:rsidP="00F53916">
      <w:pPr>
        <w:pStyle w:val="Prrafodelista"/>
        <w:spacing w:line="276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</w:rPr>
      </w:pPr>
    </w:p>
    <w:p w14:paraId="24DE76CC" w14:textId="77777777" w:rsidR="00F53916" w:rsidRPr="00F53916" w:rsidRDefault="00F53916" w:rsidP="00F53916">
      <w:pPr>
        <w:pStyle w:val="Prrafodelista"/>
        <w:jc w:val="both"/>
        <w:rPr>
          <w:rFonts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 xml:space="preserve">El modelo de farmacia sometido a planificación sanitaria y regulado como un establecimiento sanitario privado de interés público sale reforzado con los </w:t>
      </w:r>
      <w:r w:rsidRPr="00F53916">
        <w:rPr>
          <w:rFonts w:cstheme="minorHAnsi"/>
          <w:sz w:val="28"/>
          <w:szCs w:val="28"/>
        </w:rPr>
        <w:lastRenderedPageBreak/>
        <w:t>cambios introducidos en la nueva Ley de Farmacia de la Comunidad de Madrid al:</w:t>
      </w:r>
    </w:p>
    <w:p w14:paraId="0580484E" w14:textId="77777777" w:rsidR="00F53916" w:rsidRPr="00F53916" w:rsidRDefault="00F53916" w:rsidP="00F53916">
      <w:pPr>
        <w:pStyle w:val="Prrafodelista"/>
        <w:spacing w:line="276" w:lineRule="auto"/>
        <w:jc w:val="both"/>
        <w:rPr>
          <w:rFonts w:cstheme="minorHAnsi"/>
          <w:sz w:val="28"/>
          <w:szCs w:val="28"/>
        </w:rPr>
      </w:pPr>
    </w:p>
    <w:p w14:paraId="256283CC" w14:textId="77777777" w:rsidR="00F53916" w:rsidRPr="00F53916" w:rsidRDefault="00F53916" w:rsidP="00F53916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 xml:space="preserve">Fijar un nuevo </w:t>
      </w:r>
      <w:r w:rsidRPr="00F53916">
        <w:rPr>
          <w:rFonts w:cstheme="minorHAnsi"/>
          <w:b/>
          <w:bCs/>
          <w:sz w:val="28"/>
          <w:szCs w:val="28"/>
        </w:rPr>
        <w:t>módulo de población de 3.000 habitantes</w:t>
      </w:r>
      <w:r w:rsidRPr="00F53916">
        <w:rPr>
          <w:rFonts w:cstheme="minorHAnsi"/>
          <w:sz w:val="28"/>
          <w:szCs w:val="28"/>
        </w:rPr>
        <w:t xml:space="preserve"> para autorizar una nueva oficina de farmacia e introducir </w:t>
      </w:r>
      <w:r w:rsidRPr="00F53916">
        <w:rPr>
          <w:rFonts w:cstheme="minorHAnsi"/>
          <w:b/>
          <w:bCs/>
          <w:sz w:val="28"/>
          <w:szCs w:val="28"/>
        </w:rPr>
        <w:t>nuevos criterios de autorización</w:t>
      </w:r>
      <w:r w:rsidRPr="00F53916">
        <w:rPr>
          <w:rFonts w:cstheme="minorHAnsi"/>
          <w:sz w:val="28"/>
          <w:szCs w:val="28"/>
        </w:rPr>
        <w:t>, como la actividad desarrollada en las farmacias de viabilidad económica comprometida (VEC) o en núcleos de población con menos de 2.000 habitantes (</w:t>
      </w:r>
      <w:r w:rsidRPr="00F53916">
        <w:rPr>
          <w:rFonts w:cstheme="minorHAnsi"/>
          <w:b/>
          <w:bCs/>
          <w:sz w:val="28"/>
          <w:szCs w:val="28"/>
        </w:rPr>
        <w:t>artículo 23</w:t>
      </w:r>
      <w:r w:rsidRPr="00F53916">
        <w:rPr>
          <w:rFonts w:cstheme="minorHAnsi"/>
          <w:sz w:val="28"/>
          <w:szCs w:val="28"/>
        </w:rPr>
        <w:t>).</w:t>
      </w:r>
    </w:p>
    <w:p w14:paraId="4F66EA12" w14:textId="77777777" w:rsidR="00F53916" w:rsidRPr="00F53916" w:rsidRDefault="00F53916" w:rsidP="00F53916">
      <w:pPr>
        <w:pStyle w:val="Prrafodelista"/>
        <w:spacing w:line="276" w:lineRule="auto"/>
        <w:jc w:val="both"/>
        <w:rPr>
          <w:rFonts w:cstheme="minorHAnsi"/>
          <w:sz w:val="28"/>
          <w:szCs w:val="28"/>
        </w:rPr>
      </w:pPr>
    </w:p>
    <w:p w14:paraId="3A2EA0E3" w14:textId="77777777" w:rsidR="00F53916" w:rsidRPr="00F53916" w:rsidRDefault="00F53916" w:rsidP="00F53916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sz w:val="28"/>
          <w:szCs w:val="28"/>
        </w:rPr>
      </w:pPr>
      <w:r w:rsidRPr="00F53916">
        <w:rPr>
          <w:rFonts w:eastAsia="Times New Roman" w:cstheme="minorHAnsi"/>
          <w:sz w:val="28"/>
          <w:szCs w:val="28"/>
        </w:rPr>
        <w:t>Establecer la zona básica de salud como unidad básica de planificación farmacéutica (</w:t>
      </w:r>
      <w:r w:rsidRPr="00F53916">
        <w:rPr>
          <w:rFonts w:eastAsia="Times New Roman" w:cstheme="minorHAnsi"/>
          <w:b/>
          <w:bCs/>
          <w:sz w:val="28"/>
          <w:szCs w:val="28"/>
        </w:rPr>
        <w:t>artículo 23</w:t>
      </w:r>
      <w:r w:rsidRPr="00F53916">
        <w:rPr>
          <w:rFonts w:eastAsia="Times New Roman" w:cstheme="minorHAnsi"/>
          <w:sz w:val="28"/>
          <w:szCs w:val="28"/>
        </w:rPr>
        <w:t>).</w:t>
      </w:r>
    </w:p>
    <w:p w14:paraId="29DEF0F8" w14:textId="77777777" w:rsidR="00F53916" w:rsidRPr="00F53916" w:rsidRDefault="00F53916" w:rsidP="00F53916">
      <w:pPr>
        <w:pStyle w:val="Prrafodelista"/>
        <w:rPr>
          <w:rFonts w:eastAsia="Times New Roman" w:cstheme="minorHAnsi"/>
          <w:sz w:val="28"/>
          <w:szCs w:val="28"/>
        </w:rPr>
      </w:pPr>
    </w:p>
    <w:p w14:paraId="68CF1F07" w14:textId="77777777" w:rsidR="00F53916" w:rsidRPr="00F53916" w:rsidRDefault="00F53916" w:rsidP="00F5391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F53916">
        <w:rPr>
          <w:rFonts w:eastAsia="Times New Roman" w:cstheme="minorHAnsi"/>
          <w:sz w:val="28"/>
          <w:szCs w:val="28"/>
        </w:rPr>
        <w:t xml:space="preserve">Regular en dos fases el </w:t>
      </w:r>
      <w:r w:rsidRPr="00F53916">
        <w:rPr>
          <w:rFonts w:eastAsia="Times New Roman" w:cstheme="minorHAnsi"/>
          <w:b/>
          <w:bCs/>
          <w:sz w:val="28"/>
          <w:szCs w:val="28"/>
        </w:rPr>
        <w:t>procedimiento</w:t>
      </w:r>
      <w:r w:rsidRPr="00F53916">
        <w:rPr>
          <w:rFonts w:eastAsia="Times New Roman" w:cstheme="minorHAnsi"/>
          <w:sz w:val="28"/>
          <w:szCs w:val="28"/>
        </w:rPr>
        <w:t xml:space="preserve"> </w:t>
      </w:r>
      <w:r w:rsidRPr="00F53916">
        <w:rPr>
          <w:rFonts w:eastAsia="Times New Roman" w:cstheme="minorHAnsi"/>
          <w:b/>
          <w:bCs/>
          <w:sz w:val="28"/>
          <w:szCs w:val="28"/>
        </w:rPr>
        <w:t>de apertura de nuevas farmacias</w:t>
      </w:r>
      <w:r w:rsidRPr="00F53916">
        <w:rPr>
          <w:rFonts w:eastAsia="Times New Roman" w:cstheme="minorHAnsi"/>
          <w:sz w:val="28"/>
          <w:szCs w:val="28"/>
        </w:rPr>
        <w:t xml:space="preserve">. La primera dará lugar a un </w:t>
      </w:r>
      <w:r w:rsidRPr="00F53916">
        <w:rPr>
          <w:rFonts w:eastAsia="Times New Roman" w:cstheme="minorHAnsi"/>
          <w:b/>
          <w:bCs/>
          <w:sz w:val="28"/>
          <w:szCs w:val="28"/>
        </w:rPr>
        <w:t>concurso de</w:t>
      </w:r>
      <w:r w:rsidRPr="00F53916">
        <w:rPr>
          <w:rFonts w:eastAsia="Times New Roman" w:cstheme="minorHAnsi"/>
          <w:sz w:val="28"/>
          <w:szCs w:val="28"/>
        </w:rPr>
        <w:t xml:space="preserve"> </w:t>
      </w:r>
      <w:r w:rsidRPr="00F53916">
        <w:rPr>
          <w:rFonts w:eastAsia="Times New Roman" w:cstheme="minorHAnsi"/>
          <w:b/>
          <w:bCs/>
          <w:sz w:val="28"/>
          <w:szCs w:val="28"/>
        </w:rPr>
        <w:t>traslado</w:t>
      </w:r>
      <w:r w:rsidRPr="00F53916">
        <w:rPr>
          <w:rFonts w:eastAsia="Times New Roman" w:cstheme="minorHAnsi"/>
          <w:sz w:val="28"/>
          <w:szCs w:val="28"/>
        </w:rPr>
        <w:t xml:space="preserve"> en toda la Comunidad de Madrid</w:t>
      </w:r>
      <w:r w:rsidRPr="00F53916">
        <w:rPr>
          <w:rFonts w:cstheme="minorHAnsi"/>
          <w:sz w:val="28"/>
          <w:szCs w:val="28"/>
        </w:rPr>
        <w:t xml:space="preserve"> en el que podrán participar las farmacias interesadas abiertas en la región</w:t>
      </w:r>
      <w:r w:rsidRPr="00F53916">
        <w:rPr>
          <w:rFonts w:eastAsia="Times New Roman" w:cstheme="minorHAnsi"/>
          <w:sz w:val="28"/>
          <w:szCs w:val="28"/>
        </w:rPr>
        <w:t xml:space="preserve"> y la segunda</w:t>
      </w:r>
      <w:r w:rsidRPr="00F53916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F53916">
        <w:rPr>
          <w:rFonts w:eastAsia="Times New Roman" w:cstheme="minorHAnsi"/>
          <w:sz w:val="28"/>
          <w:szCs w:val="28"/>
        </w:rPr>
        <w:t xml:space="preserve">será un </w:t>
      </w:r>
      <w:r w:rsidRPr="00F53916">
        <w:rPr>
          <w:rFonts w:eastAsia="Times New Roman" w:cstheme="minorHAnsi"/>
          <w:b/>
          <w:bCs/>
          <w:sz w:val="28"/>
          <w:szCs w:val="28"/>
        </w:rPr>
        <w:t>concurso de adjudicación</w:t>
      </w:r>
      <w:r w:rsidRPr="00F53916">
        <w:rPr>
          <w:rFonts w:eastAsia="Times New Roman" w:cstheme="minorHAnsi"/>
          <w:sz w:val="28"/>
          <w:szCs w:val="28"/>
        </w:rPr>
        <w:t xml:space="preserve"> de las oficinas de farmacia que hayan quedado vacantes en la primera fase. Con este procedimiento se faculta la movilidad de las farmacias que hasta ahora estaban sujetas solo y exclusivamente al municipio </w:t>
      </w:r>
      <w:r w:rsidRPr="00F53916">
        <w:rPr>
          <w:rFonts w:eastAsia="Times New Roman" w:cstheme="minorHAnsi"/>
          <w:b/>
          <w:bCs/>
          <w:sz w:val="28"/>
          <w:szCs w:val="28"/>
        </w:rPr>
        <w:t>(artículo 24).</w:t>
      </w:r>
    </w:p>
    <w:p w14:paraId="6CE62D93" w14:textId="77777777" w:rsidR="00F53916" w:rsidRPr="00F53916" w:rsidRDefault="00F53916" w:rsidP="00F53916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556F5F08" w14:textId="77777777" w:rsidR="00F53916" w:rsidRPr="00F53916" w:rsidRDefault="00F53916" w:rsidP="00F5391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b/>
          <w:bCs/>
          <w:color w:val="222222"/>
          <w:sz w:val="28"/>
          <w:szCs w:val="28"/>
        </w:rPr>
      </w:pPr>
      <w:r w:rsidRPr="00F53916">
        <w:rPr>
          <w:rFonts w:eastAsia="Times New Roman" w:cstheme="minorHAnsi"/>
          <w:sz w:val="28"/>
          <w:szCs w:val="28"/>
        </w:rPr>
        <w:t xml:space="preserve">Fijar con carácter de </w:t>
      </w:r>
      <w:r w:rsidRPr="00F53916">
        <w:rPr>
          <w:rFonts w:eastAsia="Times New Roman" w:cstheme="minorHAnsi"/>
          <w:b/>
          <w:bCs/>
          <w:sz w:val="28"/>
          <w:szCs w:val="28"/>
        </w:rPr>
        <w:t xml:space="preserve">mínimo </w:t>
      </w:r>
      <w:r w:rsidRPr="00F53916">
        <w:rPr>
          <w:rFonts w:eastAsia="Times New Roman" w:cstheme="minorHAnsi"/>
          <w:sz w:val="28"/>
          <w:szCs w:val="28"/>
        </w:rPr>
        <w:t xml:space="preserve">el </w:t>
      </w:r>
      <w:r w:rsidRPr="00F53916">
        <w:rPr>
          <w:rFonts w:eastAsia="Times New Roman" w:cstheme="minorHAnsi"/>
          <w:b/>
          <w:bCs/>
          <w:sz w:val="28"/>
          <w:szCs w:val="28"/>
        </w:rPr>
        <w:t>horario</w:t>
      </w:r>
      <w:r w:rsidRPr="00F53916">
        <w:rPr>
          <w:rFonts w:eastAsia="Times New Roman" w:cstheme="minorHAnsi"/>
          <w:sz w:val="28"/>
          <w:szCs w:val="28"/>
        </w:rPr>
        <w:t xml:space="preserve"> </w:t>
      </w:r>
      <w:r w:rsidRPr="00F53916">
        <w:rPr>
          <w:rFonts w:eastAsia="Times New Roman" w:cstheme="minorHAnsi"/>
          <w:b/>
          <w:bCs/>
          <w:sz w:val="28"/>
          <w:szCs w:val="28"/>
        </w:rPr>
        <w:t>oficial de la oficina de farmacia</w:t>
      </w:r>
      <w:r w:rsidRPr="00F53916">
        <w:rPr>
          <w:rFonts w:eastAsia="Times New Roman" w:cstheme="minorHAnsi"/>
          <w:sz w:val="28"/>
          <w:szCs w:val="28"/>
        </w:rPr>
        <w:t xml:space="preserve">: 40 horas semanales en días laborables, de lunes a sábado inclusive. La </w:t>
      </w:r>
      <w:r w:rsidRPr="00F53916">
        <w:rPr>
          <w:rFonts w:eastAsia="Times New Roman" w:cstheme="minorHAnsi"/>
          <w:b/>
          <w:bCs/>
          <w:sz w:val="28"/>
          <w:szCs w:val="28"/>
        </w:rPr>
        <w:t>franja variable</w:t>
      </w:r>
      <w:r w:rsidRPr="00F53916">
        <w:rPr>
          <w:rFonts w:eastAsia="Times New Roman" w:cstheme="minorHAnsi"/>
          <w:sz w:val="28"/>
          <w:szCs w:val="28"/>
        </w:rPr>
        <w:t xml:space="preserve"> se determina voluntariamente por las OF, pudiéndose ampliar hasta un máximo de 24 horas. Se </w:t>
      </w:r>
      <w:r w:rsidRPr="00F53916">
        <w:rPr>
          <w:rFonts w:eastAsia="Times New Roman" w:cstheme="minorHAnsi"/>
          <w:b/>
          <w:bCs/>
          <w:sz w:val="28"/>
          <w:szCs w:val="28"/>
        </w:rPr>
        <w:t>flexibiliza</w:t>
      </w:r>
      <w:r w:rsidRPr="00F53916">
        <w:rPr>
          <w:rFonts w:eastAsia="Times New Roman" w:cstheme="minorHAnsi"/>
          <w:sz w:val="28"/>
          <w:szCs w:val="28"/>
        </w:rPr>
        <w:t xml:space="preserve"> en función de la demanda de la población en cada zona y se facilita así la conciliación familiar. </w:t>
      </w:r>
      <w:r w:rsidRPr="00F53916">
        <w:rPr>
          <w:rFonts w:cstheme="minorHAnsi"/>
          <w:color w:val="222222"/>
          <w:sz w:val="28"/>
          <w:szCs w:val="28"/>
        </w:rPr>
        <w:t xml:space="preserve">Este artículo será objeto de </w:t>
      </w:r>
      <w:r w:rsidRPr="00F53916">
        <w:rPr>
          <w:rFonts w:cstheme="minorHAnsi"/>
          <w:b/>
          <w:bCs/>
          <w:color w:val="222222"/>
          <w:sz w:val="28"/>
          <w:szCs w:val="28"/>
        </w:rPr>
        <w:t>desarrollo reglamentario</w:t>
      </w:r>
      <w:r w:rsidRPr="00F53916">
        <w:rPr>
          <w:rFonts w:cstheme="minorHAnsi"/>
          <w:color w:val="222222"/>
          <w:sz w:val="28"/>
          <w:szCs w:val="28"/>
        </w:rPr>
        <w:t xml:space="preserve"> donde se tendrán que incorporar las guardias y las vacaciones </w:t>
      </w:r>
      <w:r w:rsidRPr="00F53916">
        <w:rPr>
          <w:rFonts w:cstheme="minorHAnsi"/>
          <w:b/>
          <w:bCs/>
          <w:color w:val="222222"/>
          <w:sz w:val="28"/>
          <w:szCs w:val="28"/>
        </w:rPr>
        <w:t xml:space="preserve">(artículo 25). </w:t>
      </w:r>
    </w:p>
    <w:p w14:paraId="2C9D8ED9" w14:textId="77777777" w:rsidR="00F53916" w:rsidRPr="00F53916" w:rsidRDefault="00F53916" w:rsidP="00F53916">
      <w:pPr>
        <w:spacing w:after="0" w:line="276" w:lineRule="auto"/>
        <w:jc w:val="both"/>
        <w:rPr>
          <w:rFonts w:cstheme="minorHAnsi"/>
          <w:b/>
          <w:bCs/>
          <w:color w:val="222222"/>
          <w:sz w:val="28"/>
          <w:szCs w:val="28"/>
        </w:rPr>
      </w:pPr>
    </w:p>
    <w:p w14:paraId="337DE59D" w14:textId="77777777" w:rsidR="00F53916" w:rsidRPr="00F53916" w:rsidRDefault="00F53916" w:rsidP="00F5391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8"/>
          <w:szCs w:val="28"/>
        </w:rPr>
      </w:pPr>
      <w:r w:rsidRPr="00F53916">
        <w:rPr>
          <w:rFonts w:eastAsia="Times New Roman" w:cstheme="minorHAnsi"/>
          <w:sz w:val="28"/>
          <w:szCs w:val="28"/>
        </w:rPr>
        <w:t xml:space="preserve">Respetar el marco de </w:t>
      </w:r>
      <w:r w:rsidRPr="00F53916">
        <w:rPr>
          <w:rFonts w:eastAsia="Times New Roman" w:cstheme="minorHAnsi"/>
          <w:b/>
          <w:bCs/>
          <w:sz w:val="28"/>
          <w:szCs w:val="28"/>
        </w:rPr>
        <w:t>transmisión</w:t>
      </w:r>
      <w:r w:rsidRPr="00F53916">
        <w:rPr>
          <w:rFonts w:eastAsia="Times New Roman" w:cstheme="minorHAnsi"/>
          <w:sz w:val="28"/>
          <w:szCs w:val="28"/>
        </w:rPr>
        <w:t xml:space="preserve"> de las oficinas de farmacia (</w:t>
      </w:r>
      <w:r w:rsidRPr="00F53916">
        <w:rPr>
          <w:rFonts w:eastAsia="Times New Roman" w:cstheme="minorHAnsi"/>
          <w:b/>
          <w:bCs/>
          <w:sz w:val="28"/>
          <w:szCs w:val="28"/>
        </w:rPr>
        <w:t>artículo 31</w:t>
      </w:r>
      <w:r w:rsidRPr="00F53916">
        <w:rPr>
          <w:rFonts w:eastAsia="Times New Roman" w:cstheme="minorHAnsi"/>
          <w:sz w:val="28"/>
          <w:szCs w:val="28"/>
        </w:rPr>
        <w:t xml:space="preserve">). Se amplía, para evitar abusos en la presentación a nuevas aperturas, el periodo de </w:t>
      </w:r>
      <w:r w:rsidRPr="00F53916">
        <w:rPr>
          <w:rFonts w:eastAsia="Times New Roman" w:cstheme="minorHAnsi"/>
          <w:sz w:val="28"/>
          <w:szCs w:val="28"/>
        </w:rPr>
        <w:lastRenderedPageBreak/>
        <w:t xml:space="preserve">la farmacia abierta a </w:t>
      </w:r>
      <w:r w:rsidRPr="00F53916">
        <w:rPr>
          <w:rFonts w:eastAsia="Times New Roman" w:cstheme="minorHAnsi"/>
          <w:b/>
          <w:bCs/>
          <w:sz w:val="28"/>
          <w:szCs w:val="28"/>
        </w:rPr>
        <w:t>seis</w:t>
      </w:r>
      <w:r w:rsidRPr="00F53916">
        <w:rPr>
          <w:rFonts w:eastAsia="Times New Roman" w:cstheme="minorHAnsi"/>
          <w:sz w:val="28"/>
          <w:szCs w:val="28"/>
        </w:rPr>
        <w:t xml:space="preserve"> años desde la fecha de apertura. En municipios de menos de 2.000 habitantes se fija en </w:t>
      </w:r>
      <w:r w:rsidRPr="00F53916">
        <w:rPr>
          <w:rFonts w:eastAsia="Times New Roman" w:cstheme="minorHAnsi"/>
          <w:b/>
          <w:bCs/>
          <w:sz w:val="28"/>
          <w:szCs w:val="28"/>
        </w:rPr>
        <w:t>cuatro</w:t>
      </w:r>
      <w:r w:rsidRPr="00F53916">
        <w:rPr>
          <w:rFonts w:eastAsia="Times New Roman" w:cstheme="minorHAnsi"/>
          <w:sz w:val="28"/>
          <w:szCs w:val="28"/>
        </w:rPr>
        <w:t xml:space="preserve"> años.</w:t>
      </w:r>
    </w:p>
    <w:p w14:paraId="7FDE7626" w14:textId="77777777" w:rsidR="00F53916" w:rsidRPr="00F53916" w:rsidRDefault="00F53916" w:rsidP="00F53916">
      <w:pPr>
        <w:pStyle w:val="Prrafodelista"/>
        <w:rPr>
          <w:rFonts w:eastAsia="Times New Roman" w:cstheme="minorHAnsi"/>
          <w:sz w:val="28"/>
          <w:szCs w:val="28"/>
        </w:rPr>
      </w:pPr>
    </w:p>
    <w:p w14:paraId="14677FE7" w14:textId="77777777" w:rsidR="00F53916" w:rsidRPr="00F53916" w:rsidRDefault="00F53916" w:rsidP="00F5391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8"/>
          <w:szCs w:val="28"/>
        </w:rPr>
      </w:pPr>
      <w:r w:rsidRPr="00F53916">
        <w:rPr>
          <w:rFonts w:eastAsia="Times New Roman" w:cstheme="minorHAnsi"/>
          <w:sz w:val="28"/>
          <w:szCs w:val="28"/>
        </w:rPr>
        <w:t xml:space="preserve">Dotar de un estatus especial a las </w:t>
      </w:r>
      <w:r w:rsidRPr="00F53916">
        <w:rPr>
          <w:rFonts w:eastAsia="Times New Roman" w:cstheme="minorHAnsi"/>
          <w:b/>
          <w:bCs/>
          <w:sz w:val="28"/>
          <w:szCs w:val="28"/>
        </w:rPr>
        <w:t>farmacias rurales</w:t>
      </w:r>
      <w:r w:rsidRPr="00F53916">
        <w:rPr>
          <w:rFonts w:eastAsia="Times New Roman" w:cstheme="minorHAnsi"/>
          <w:sz w:val="28"/>
          <w:szCs w:val="28"/>
        </w:rPr>
        <w:t xml:space="preserve"> en la regulación de horarios, la organización de guardias, la autorización de nuevas oficinas de farmacia, los criterios de planificación, la superficie de los establecimientos o la transmisión.</w:t>
      </w:r>
    </w:p>
    <w:p w14:paraId="61A26A34" w14:textId="77777777" w:rsidR="00F53916" w:rsidRPr="00F53916" w:rsidRDefault="00F53916" w:rsidP="00F53916">
      <w:pPr>
        <w:pStyle w:val="Prrafodelista"/>
        <w:rPr>
          <w:rFonts w:eastAsia="Times New Roman" w:cstheme="minorHAnsi"/>
          <w:sz w:val="28"/>
          <w:szCs w:val="28"/>
        </w:rPr>
      </w:pPr>
    </w:p>
    <w:p w14:paraId="2ED129F4" w14:textId="77777777" w:rsidR="00F53916" w:rsidRPr="00F53916" w:rsidRDefault="00F53916" w:rsidP="00F53916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eastAsia="Times New Roman"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>Utilizar, en definitiva,</w:t>
      </w:r>
      <w:r w:rsidRPr="00F53916">
        <w:rPr>
          <w:rFonts w:cstheme="minorHAnsi"/>
          <w:b/>
          <w:bCs/>
          <w:sz w:val="28"/>
          <w:szCs w:val="28"/>
        </w:rPr>
        <w:t xml:space="preserve"> </w:t>
      </w:r>
      <w:r w:rsidRPr="00F53916">
        <w:rPr>
          <w:rFonts w:cstheme="minorHAnsi"/>
          <w:sz w:val="28"/>
          <w:szCs w:val="28"/>
        </w:rPr>
        <w:t xml:space="preserve">los recursos que ofrece la red de oficinas de farmacia y aprovechar su potencial para prestar un mejor servicio a los ciudadanos, coordinando y utilizando, de forma eficiente, los existentes. </w:t>
      </w:r>
    </w:p>
    <w:p w14:paraId="2943400C" w14:textId="77777777" w:rsidR="00F53916" w:rsidRPr="00F53916" w:rsidRDefault="00F53916" w:rsidP="00F53916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13FCCE00" w14:textId="77777777" w:rsidR="00F53916" w:rsidRPr="00F53916" w:rsidRDefault="00F53916" w:rsidP="00F53916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64778DF8" w14:textId="77777777" w:rsidR="00F53916" w:rsidRPr="00F53916" w:rsidRDefault="00F53916" w:rsidP="00F53916">
      <w:pPr>
        <w:pStyle w:val="Prrafodelista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b/>
          <w:bCs/>
          <w:i/>
          <w:iCs/>
          <w:color w:val="00B050"/>
          <w:sz w:val="36"/>
          <w:szCs w:val="36"/>
        </w:rPr>
      </w:pPr>
      <w:r w:rsidRPr="00F53916">
        <w:rPr>
          <w:rFonts w:eastAsia="Times New Roman" w:cstheme="minorHAnsi"/>
          <w:b/>
          <w:bCs/>
          <w:i/>
          <w:iCs/>
          <w:color w:val="00B050"/>
          <w:sz w:val="36"/>
          <w:szCs w:val="36"/>
        </w:rPr>
        <w:t xml:space="preserve">Se abre la puerta a nuevos desarrollos profesionales a través de los siguientes instrumentos: </w:t>
      </w:r>
    </w:p>
    <w:p w14:paraId="598E573B" w14:textId="77777777" w:rsidR="00F53916" w:rsidRPr="00F53916" w:rsidRDefault="00F53916" w:rsidP="00F53916">
      <w:pPr>
        <w:pStyle w:val="Prrafodelista"/>
        <w:spacing w:line="276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</w:rPr>
      </w:pPr>
    </w:p>
    <w:p w14:paraId="44B5611A" w14:textId="77777777" w:rsidR="00F53916" w:rsidRPr="00F53916" w:rsidRDefault="00F53916" w:rsidP="00F53916">
      <w:pPr>
        <w:pStyle w:val="Prrafodelista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F53916">
        <w:rPr>
          <w:rFonts w:eastAsia="Times New Roman" w:cstheme="minorHAnsi"/>
          <w:b/>
          <w:bCs/>
          <w:sz w:val="28"/>
          <w:szCs w:val="28"/>
        </w:rPr>
        <w:t>Apertura de la sección de Nutrición y dietética (artículo 16</w:t>
      </w:r>
      <w:r w:rsidRPr="00F53916">
        <w:rPr>
          <w:rFonts w:eastAsia="Times New Roman" w:cstheme="minorHAnsi"/>
          <w:sz w:val="28"/>
          <w:szCs w:val="28"/>
        </w:rPr>
        <w:t xml:space="preserve">). </w:t>
      </w:r>
      <w:r w:rsidRPr="00F53916">
        <w:rPr>
          <w:rFonts w:cstheme="minorHAnsi"/>
          <w:sz w:val="28"/>
          <w:szCs w:val="28"/>
        </w:rPr>
        <w:t>Además de mejorar el servicio a la población, las farmacias podrán generar nuevo empleo al contratar profesionales sanitarios (farmacéuticos o no, siempre que sean titulados y colegiados) para el desarrollo de actividad de las nuevas secciones, que tendrán, al menos, “el horario mínimo u ordinario de la oficina de farmacia”.</w:t>
      </w:r>
    </w:p>
    <w:p w14:paraId="7D5B0725" w14:textId="77777777" w:rsidR="00F53916" w:rsidRPr="00F53916" w:rsidRDefault="00F53916" w:rsidP="00F53916">
      <w:pPr>
        <w:pStyle w:val="Prrafodelista"/>
        <w:spacing w:line="276" w:lineRule="auto"/>
        <w:jc w:val="both"/>
        <w:rPr>
          <w:rFonts w:cstheme="minorHAnsi"/>
          <w:sz w:val="28"/>
          <w:szCs w:val="28"/>
        </w:rPr>
      </w:pPr>
    </w:p>
    <w:p w14:paraId="282E1B71" w14:textId="77777777" w:rsidR="00F53916" w:rsidRPr="00F53916" w:rsidRDefault="00F53916" w:rsidP="00F53916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 xml:space="preserve">Nuevo servicio de </w:t>
      </w:r>
      <w:r w:rsidRPr="00F53916">
        <w:rPr>
          <w:rFonts w:cstheme="minorHAnsi"/>
          <w:b/>
          <w:bCs/>
          <w:sz w:val="28"/>
          <w:szCs w:val="28"/>
        </w:rPr>
        <w:t>atención farmacéutica domiciliaria (artículo 13)</w:t>
      </w:r>
      <w:r w:rsidRPr="00F53916">
        <w:rPr>
          <w:rFonts w:cstheme="minorHAnsi"/>
          <w:sz w:val="28"/>
          <w:szCs w:val="28"/>
        </w:rPr>
        <w:t xml:space="preserve">. El nuevo servicio farmacéutico “de entrega informada en el domicilio de los usuarios” avanza en las garantías de acceso seguro a los tratamientos y uso correcto de los medicamentos. Está dirigido exclusivamente a las personas en “situación de dependencia o discapacidad con pérdida de autonomía funcional y con dificultad o impedimento para desplazarse a la oficina de farmacia de su elección” y este servicio profesional lo realizará un farmacéutico de la oficina de farmacia. La nueva prestación requerirá de un </w:t>
      </w:r>
      <w:r w:rsidRPr="00F53916">
        <w:rPr>
          <w:rFonts w:cstheme="minorHAnsi"/>
          <w:b/>
          <w:bCs/>
          <w:sz w:val="28"/>
          <w:szCs w:val="28"/>
        </w:rPr>
        <w:t>desarrollo reglamentario</w:t>
      </w:r>
      <w:r w:rsidRPr="00F53916">
        <w:rPr>
          <w:rFonts w:cstheme="minorHAnsi"/>
          <w:sz w:val="28"/>
          <w:szCs w:val="28"/>
        </w:rPr>
        <w:t xml:space="preserve"> para ser efectiva, donde la zona básica de salud y la proximidad a los pacientes </w:t>
      </w:r>
      <w:r w:rsidRPr="00F53916">
        <w:rPr>
          <w:rFonts w:cstheme="minorHAnsi"/>
          <w:sz w:val="28"/>
          <w:szCs w:val="28"/>
        </w:rPr>
        <w:lastRenderedPageBreak/>
        <w:t xml:space="preserve">deberán ser las bases de la planificación. Con ello, el </w:t>
      </w:r>
      <w:r w:rsidRPr="00F53916">
        <w:rPr>
          <w:rFonts w:eastAsia="Times New Roman" w:cstheme="minorHAnsi"/>
          <w:sz w:val="28"/>
          <w:szCs w:val="28"/>
        </w:rPr>
        <w:t xml:space="preserve">debate del </w:t>
      </w:r>
      <w:proofErr w:type="spellStart"/>
      <w:r w:rsidRPr="00F53916">
        <w:rPr>
          <w:rFonts w:eastAsia="Times New Roman" w:cstheme="minorHAnsi"/>
          <w:i/>
          <w:iCs/>
          <w:sz w:val="28"/>
          <w:szCs w:val="28"/>
        </w:rPr>
        <w:t>delivery</w:t>
      </w:r>
      <w:proofErr w:type="spellEnd"/>
      <w:r w:rsidRPr="00F53916">
        <w:rPr>
          <w:rFonts w:eastAsia="Times New Roman" w:cstheme="minorHAnsi"/>
          <w:sz w:val="28"/>
          <w:szCs w:val="28"/>
        </w:rPr>
        <w:t xml:space="preserve"> se desvanece.</w:t>
      </w:r>
    </w:p>
    <w:p w14:paraId="0BDF816A" w14:textId="77777777" w:rsidR="00F53916" w:rsidRPr="00F53916" w:rsidRDefault="00F53916" w:rsidP="00F53916">
      <w:pPr>
        <w:pStyle w:val="Prrafodelista"/>
        <w:rPr>
          <w:rFonts w:eastAsia="Times New Roman" w:cstheme="minorHAnsi"/>
          <w:sz w:val="28"/>
          <w:szCs w:val="28"/>
        </w:rPr>
      </w:pPr>
    </w:p>
    <w:p w14:paraId="18747E4D" w14:textId="77777777" w:rsidR="00F53916" w:rsidRPr="00F53916" w:rsidRDefault="00F53916" w:rsidP="00F53916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8"/>
          <w:szCs w:val="28"/>
        </w:rPr>
      </w:pPr>
      <w:r w:rsidRPr="00F53916">
        <w:rPr>
          <w:rFonts w:cstheme="minorHAnsi"/>
          <w:sz w:val="28"/>
          <w:szCs w:val="28"/>
        </w:rPr>
        <w:t xml:space="preserve">Extensión de los </w:t>
      </w:r>
      <w:r w:rsidRPr="00F53916">
        <w:rPr>
          <w:rFonts w:cstheme="minorHAnsi"/>
          <w:b/>
          <w:bCs/>
          <w:sz w:val="28"/>
          <w:szCs w:val="28"/>
        </w:rPr>
        <w:t>sistemas personalizados de dosificación (artículo 14)</w:t>
      </w:r>
      <w:r w:rsidRPr="00F53916">
        <w:rPr>
          <w:rFonts w:cstheme="minorHAnsi"/>
          <w:sz w:val="28"/>
          <w:szCs w:val="28"/>
        </w:rPr>
        <w:t xml:space="preserve"> para reforzar el cumplimiento de los tratamientos, su efectividad y seguridad. Esta actuación profesional, especialmente indicada para pacientes crónicos, polimedicados y dependientes, tendrá que realizarse en la oficina de farmacia a los pacientes que lo soliciten. No se</w:t>
      </w:r>
      <w:r w:rsidRPr="00F53916">
        <w:rPr>
          <w:rFonts w:eastAsia="Times New Roman" w:cstheme="minorHAnsi"/>
          <w:sz w:val="28"/>
          <w:szCs w:val="28"/>
        </w:rPr>
        <w:t xml:space="preserve"> podrán hacer a terceros, favoreciendo que todas las farmacias puedan desarrollar esta actividad.</w:t>
      </w:r>
    </w:p>
    <w:p w14:paraId="481E0BB1" w14:textId="77777777" w:rsidR="00F53916" w:rsidRPr="00F53916" w:rsidRDefault="00F53916" w:rsidP="00F53916">
      <w:pPr>
        <w:pStyle w:val="Prrafodelista"/>
        <w:rPr>
          <w:rFonts w:eastAsia="Times New Roman" w:cstheme="minorHAnsi"/>
          <w:sz w:val="28"/>
          <w:szCs w:val="28"/>
        </w:rPr>
      </w:pPr>
    </w:p>
    <w:p w14:paraId="43B35639" w14:textId="77777777" w:rsidR="00F53916" w:rsidRDefault="00F53916" w:rsidP="00F53916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F53916">
        <w:rPr>
          <w:rFonts w:eastAsia="Times New Roman" w:cstheme="minorHAnsi"/>
          <w:b/>
          <w:bCs/>
          <w:sz w:val="28"/>
          <w:szCs w:val="28"/>
        </w:rPr>
        <w:t>Uso de la publicidad de las oficinas de farmacias, sus servicios y secciones (artículo 22).</w:t>
      </w:r>
      <w:r w:rsidRPr="00F53916">
        <w:rPr>
          <w:rFonts w:eastAsia="Times New Roman" w:cstheme="minorHAnsi"/>
          <w:sz w:val="28"/>
          <w:szCs w:val="28"/>
        </w:rPr>
        <w:t xml:space="preserve"> Las oficinas de farmacia podrán utilizar páginas web corporativas, además de otras herramientas que proporcionan las nuevas tecnologías, para comunicar y publicitar funciones y servicios propios, información sobre consejos farmacéuticos y desarrollo de la venta online en parafarmacia, productos sanitarios y medicamentos no sujetos a prescripción.</w:t>
      </w:r>
    </w:p>
    <w:p w14:paraId="0229F96E" w14:textId="17C24DAF" w:rsidR="0036102A" w:rsidRPr="0036102A" w:rsidRDefault="0036102A" w:rsidP="00F53916">
      <w:pPr>
        <w:pStyle w:val="Prrafodelista"/>
        <w:jc w:val="both"/>
        <w:rPr>
          <w:rFonts w:eastAsia="Times New Roman" w:cstheme="minorHAnsi"/>
          <w:sz w:val="24"/>
          <w:szCs w:val="24"/>
        </w:rPr>
      </w:pPr>
    </w:p>
    <w:p w14:paraId="1F52905C" w14:textId="77777777" w:rsidR="0036102A" w:rsidRPr="0036102A" w:rsidRDefault="0036102A" w:rsidP="0036102A">
      <w:pPr>
        <w:pStyle w:val="Prrafodelista"/>
        <w:rPr>
          <w:rFonts w:eastAsia="Times New Roman" w:cstheme="minorHAnsi"/>
          <w:sz w:val="24"/>
          <w:szCs w:val="24"/>
        </w:rPr>
      </w:pPr>
    </w:p>
    <w:p w14:paraId="3D78D106" w14:textId="77777777" w:rsidR="0036102A" w:rsidRPr="0036102A" w:rsidRDefault="0036102A" w:rsidP="0036102A">
      <w:pPr>
        <w:jc w:val="both"/>
        <w:rPr>
          <w:rFonts w:cstheme="minorHAnsi"/>
          <w:sz w:val="24"/>
          <w:szCs w:val="24"/>
        </w:rPr>
      </w:pPr>
    </w:p>
    <w:p w14:paraId="5EF7951D" w14:textId="77777777" w:rsidR="0036102A" w:rsidRPr="0036102A" w:rsidRDefault="0036102A" w:rsidP="0036102A">
      <w:pPr>
        <w:rPr>
          <w:rFonts w:cstheme="minorHAnsi"/>
        </w:rPr>
      </w:pPr>
    </w:p>
    <w:p w14:paraId="08571306" w14:textId="77777777" w:rsidR="002B0607" w:rsidRDefault="002B0607" w:rsidP="007869D6">
      <w:pPr>
        <w:rPr>
          <w:rFonts w:ascii="Arial" w:hAnsi="Arial" w:cs="Arial"/>
          <w:sz w:val="20"/>
          <w:szCs w:val="20"/>
        </w:rPr>
      </w:pPr>
    </w:p>
    <w:sectPr w:rsidR="002B0607" w:rsidSect="003610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7A9E" w14:textId="77777777" w:rsidR="00C9501F" w:rsidRDefault="00C9501F" w:rsidP="00314843">
      <w:pPr>
        <w:spacing w:after="0" w:line="240" w:lineRule="auto"/>
      </w:pPr>
      <w:r>
        <w:separator/>
      </w:r>
    </w:p>
  </w:endnote>
  <w:endnote w:type="continuationSeparator" w:id="0">
    <w:p w14:paraId="387FABAE" w14:textId="77777777" w:rsidR="00C9501F" w:rsidRDefault="00C9501F" w:rsidP="003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color w:val="7F7F7F" w:themeColor="text1" w:themeTint="80"/>
        <w:sz w:val="16"/>
        <w:szCs w:val="16"/>
      </w:rPr>
      <w:id w:val="-35427092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id w:val="1181550779"/>
          <w:docPartObj>
            <w:docPartGallery w:val="Page Numbers (Top of Page)"/>
            <w:docPartUnique/>
          </w:docPartObj>
        </w:sdtPr>
        <w:sdtContent>
          <w:p w14:paraId="27996F0B" w14:textId="77777777" w:rsidR="00411B5D" w:rsidRPr="008363E5" w:rsidRDefault="00411B5D" w:rsidP="00411B5D">
            <w:pPr>
              <w:pStyle w:val="Piedepgina"/>
              <w:tabs>
                <w:tab w:val="left" w:pos="5790"/>
              </w:tabs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 w:rsidRPr="008363E5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ab/>
            </w:r>
            <w:r w:rsidRPr="008363E5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ab/>
            </w:r>
            <w:r w:rsidRPr="008363E5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ab/>
              <w:t xml:space="preserve">Página </w:t>
            </w:r>
            <w:r w:rsidR="00E73A8C" w:rsidRPr="008363E5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begin"/>
            </w:r>
            <w:r w:rsidRPr="008363E5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instrText>PAGE</w:instrText>
            </w:r>
            <w:r w:rsidR="00E73A8C" w:rsidRPr="008363E5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separate"/>
            </w:r>
            <w:r w:rsidR="008363E5">
              <w:rPr>
                <w:rFonts w:ascii="Arial" w:hAnsi="Arial" w:cs="Arial"/>
                <w:bCs/>
                <w:i/>
                <w:noProof/>
                <w:color w:val="7F7F7F" w:themeColor="text1" w:themeTint="80"/>
                <w:sz w:val="16"/>
                <w:szCs w:val="16"/>
              </w:rPr>
              <w:t>2</w:t>
            </w:r>
            <w:r w:rsidR="00E73A8C" w:rsidRPr="008363E5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end"/>
            </w:r>
            <w:r w:rsidRPr="008363E5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 de </w:t>
            </w:r>
            <w:r w:rsidR="00E73A8C" w:rsidRPr="008363E5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begin"/>
            </w:r>
            <w:r w:rsidRPr="008363E5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instrText>NUMPAGES</w:instrText>
            </w:r>
            <w:r w:rsidR="00E73A8C" w:rsidRPr="008363E5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separate"/>
            </w:r>
            <w:r w:rsidR="00634E94">
              <w:rPr>
                <w:rFonts w:ascii="Arial" w:hAnsi="Arial" w:cs="Arial"/>
                <w:bCs/>
                <w:i/>
                <w:noProof/>
                <w:color w:val="7F7F7F" w:themeColor="text1" w:themeTint="80"/>
                <w:sz w:val="16"/>
                <w:szCs w:val="16"/>
              </w:rPr>
              <w:t>1</w:t>
            </w:r>
            <w:r w:rsidR="00E73A8C" w:rsidRPr="008363E5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4445BADC" w14:textId="753C6949" w:rsidR="00411B5D" w:rsidRPr="00F92EB8" w:rsidRDefault="00411B5D" w:rsidP="00724969">
    <w:pPr>
      <w:pStyle w:val="Prrafobsico"/>
      <w:ind w:left="567"/>
      <w:rPr>
        <w:rFonts w:ascii="Arial" w:hAnsi="Arial" w:cs="Arial"/>
        <w:color w:val="7F7F7F" w:themeColor="text1" w:themeTint="80"/>
        <w:sz w:val="16"/>
        <w:szCs w:val="16"/>
      </w:rPr>
    </w:pPr>
  </w:p>
  <w:p w14:paraId="421E56CC" w14:textId="77777777" w:rsidR="00411B5D" w:rsidRPr="00411B5D" w:rsidRDefault="00411B5D" w:rsidP="00411B5D">
    <w:pPr>
      <w:pStyle w:val="Piedepgina"/>
    </w:pPr>
  </w:p>
  <w:p w14:paraId="20F4B7E3" w14:textId="77777777" w:rsidR="00411B5D" w:rsidRPr="00411B5D" w:rsidRDefault="00411B5D" w:rsidP="00411B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color w:val="7F7F7F" w:themeColor="text1" w:themeTint="80"/>
        <w:sz w:val="16"/>
        <w:szCs w:val="16"/>
      </w:rPr>
      <w:id w:val="115634407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id w:val="-1331061846"/>
          <w:docPartObj>
            <w:docPartGallery w:val="Page Numbers (Top of Page)"/>
            <w:docPartUnique/>
          </w:docPartObj>
        </w:sdtPr>
        <w:sdtContent>
          <w:p w14:paraId="30A940E7" w14:textId="77777777" w:rsidR="000E300F" w:rsidRDefault="000E300F" w:rsidP="000E300F">
            <w:pPr>
              <w:pStyle w:val="Piedepgina"/>
              <w:tabs>
                <w:tab w:val="left" w:pos="5790"/>
              </w:tabs>
              <w:spacing w:line="360" w:lineRule="auto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</w:p>
          <w:p w14:paraId="682BB488" w14:textId="1AAB862F" w:rsidR="000E300F" w:rsidRDefault="000E300F" w:rsidP="000E300F">
            <w:pPr>
              <w:pStyle w:val="Piedepgina"/>
              <w:tabs>
                <w:tab w:val="left" w:pos="5790"/>
              </w:tabs>
              <w:spacing w:line="360" w:lineRule="auto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</w:p>
          <w:p w14:paraId="6FB9C4B5" w14:textId="0A3711C1" w:rsidR="00411B5D" w:rsidRPr="00051938" w:rsidRDefault="000E300F" w:rsidP="000E300F">
            <w:pPr>
              <w:pStyle w:val="Piedepgina"/>
              <w:tabs>
                <w:tab w:val="left" w:pos="5790"/>
              </w:tabs>
              <w:spacing w:line="360" w:lineRule="auto"/>
              <w:ind w:left="567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 w:rsidR="00411B5D" w:rsidRPr="004F0EE9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Página </w:t>
            </w:r>
            <w:r w:rsidR="00E73A8C" w:rsidRPr="004F0EE9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begin"/>
            </w:r>
            <w:r w:rsidR="00411B5D" w:rsidRPr="004F0EE9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instrText>PAGE</w:instrText>
            </w:r>
            <w:r w:rsidR="00E73A8C" w:rsidRPr="004F0EE9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separate"/>
            </w:r>
            <w:r w:rsidR="004A72B8">
              <w:rPr>
                <w:rFonts w:ascii="Arial" w:hAnsi="Arial" w:cs="Arial"/>
                <w:bCs/>
                <w:i/>
                <w:noProof/>
                <w:color w:val="7F7F7F" w:themeColor="text1" w:themeTint="80"/>
                <w:sz w:val="16"/>
                <w:szCs w:val="16"/>
              </w:rPr>
              <w:t>1</w:t>
            </w:r>
            <w:r w:rsidR="00E73A8C" w:rsidRPr="004F0EE9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end"/>
            </w:r>
            <w:r w:rsidR="00411B5D" w:rsidRPr="004F0EE9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 de </w:t>
            </w:r>
            <w:r w:rsidR="00E73A8C" w:rsidRPr="004F0EE9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begin"/>
            </w:r>
            <w:r w:rsidR="00411B5D" w:rsidRPr="004F0EE9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instrText>NUMPAGES</w:instrText>
            </w:r>
            <w:r w:rsidR="00E73A8C" w:rsidRPr="004F0EE9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separate"/>
            </w:r>
            <w:r w:rsidR="004A72B8">
              <w:rPr>
                <w:rFonts w:ascii="Arial" w:hAnsi="Arial" w:cs="Arial"/>
                <w:bCs/>
                <w:i/>
                <w:noProof/>
                <w:color w:val="7F7F7F" w:themeColor="text1" w:themeTint="80"/>
                <w:sz w:val="16"/>
                <w:szCs w:val="16"/>
              </w:rPr>
              <w:t>1</w:t>
            </w:r>
            <w:r w:rsidR="00E73A8C" w:rsidRPr="004F0EE9">
              <w:rPr>
                <w:rFonts w:ascii="Arial" w:hAnsi="Arial" w:cs="Arial"/>
                <w:bCs/>
                <w:i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44BC44E5" w14:textId="0595A6AE" w:rsidR="00411B5D" w:rsidRPr="00411B5D" w:rsidRDefault="00411B5D" w:rsidP="00411B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2BC0" w14:textId="77777777" w:rsidR="00C9501F" w:rsidRDefault="00C9501F" w:rsidP="00314843">
      <w:pPr>
        <w:spacing w:after="0" w:line="240" w:lineRule="auto"/>
      </w:pPr>
      <w:r>
        <w:separator/>
      </w:r>
    </w:p>
  </w:footnote>
  <w:footnote w:type="continuationSeparator" w:id="0">
    <w:p w14:paraId="29CDD215" w14:textId="77777777" w:rsidR="00C9501F" w:rsidRDefault="00C9501F" w:rsidP="003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6E3E" w14:textId="1208A07E" w:rsidR="0036102A" w:rsidRDefault="000D450B" w:rsidP="0036102A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>
      <w:rPr>
        <w:noProof/>
        <w:color w:val="319B42"/>
        <w:lang w:val="es-ES"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78D4C0" wp14:editId="656C97CE">
              <wp:simplePos x="0" y="0"/>
              <wp:positionH relativeFrom="page">
                <wp:posOffset>352425</wp:posOffset>
              </wp:positionH>
              <wp:positionV relativeFrom="paragraph">
                <wp:posOffset>-450215</wp:posOffset>
              </wp:positionV>
              <wp:extent cx="1200150" cy="676275"/>
              <wp:effectExtent l="0" t="0" r="0" b="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00150" cy="676275"/>
                      </a:xfrm>
                      <a:prstGeom prst="rect">
                        <a:avLst/>
                      </a:prstGeom>
                      <a:solidFill>
                        <a:srgbClr val="24A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0E415" id="Rectángulo 1" o:spid="_x0000_s1026" style="position:absolute;margin-left:27.75pt;margin-top:-35.45pt;width:94.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" fillcolor="#24ac3f" stroked="f" strokeweight="1pt">
              <w10:wrap anchorx="page"/>
            </v:rect>
          </w:pict>
        </mc:Fallback>
      </mc:AlternateContent>
    </w:r>
  </w:p>
  <w:p w14:paraId="5D40059B" w14:textId="77777777" w:rsidR="0036102A" w:rsidRDefault="0036102A" w:rsidP="0036102A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</w:p>
  <w:p w14:paraId="7C23F747" w14:textId="77777777" w:rsidR="0036102A" w:rsidRDefault="0036102A" w:rsidP="0036102A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 w:rsidRPr="00912C46">
      <w:rPr>
        <w:noProof/>
        <w:color w:val="319B42"/>
        <w:lang w:val="es-ES" w:eastAsia="es-ES"/>
      </w:rPr>
      <w:drawing>
        <wp:anchor distT="0" distB="0" distL="114300" distR="114300" simplePos="0" relativeHeight="251673600" behindDoc="0" locked="0" layoutInCell="1" allowOverlap="1" wp14:anchorId="76A04404" wp14:editId="7D5E408A">
          <wp:simplePos x="0" y="0"/>
          <wp:positionH relativeFrom="margin">
            <wp:posOffset>-300009</wp:posOffset>
          </wp:positionH>
          <wp:positionV relativeFrom="paragraph">
            <wp:posOffset>64135</wp:posOffset>
          </wp:positionV>
          <wp:extent cx="1133475" cy="524510"/>
          <wp:effectExtent l="0" t="0" r="9525" b="889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D2552F" w14:textId="77777777" w:rsidR="0036102A" w:rsidRDefault="0036102A" w:rsidP="0036102A">
    <w:pPr>
      <w:pStyle w:val="Prrafobsico"/>
      <w:ind w:left="708" w:firstLine="708"/>
      <w:rPr>
        <w:rFonts w:ascii="Arial" w:hAnsi="Arial" w:cs="Arial"/>
        <w:b/>
        <w:color w:val="319B42"/>
        <w:sz w:val="18"/>
        <w:szCs w:val="18"/>
      </w:rPr>
    </w:pPr>
  </w:p>
  <w:p w14:paraId="421A9F40" w14:textId="77777777" w:rsidR="0036102A" w:rsidRDefault="0036102A" w:rsidP="0036102A">
    <w:pPr>
      <w:pStyle w:val="Prrafobsico"/>
      <w:ind w:left="708" w:firstLine="708"/>
      <w:rPr>
        <w:rFonts w:ascii="Arial" w:hAnsi="Arial" w:cs="Arial"/>
        <w:b/>
        <w:color w:val="319B42"/>
        <w:sz w:val="18"/>
        <w:szCs w:val="18"/>
      </w:rPr>
    </w:pPr>
  </w:p>
  <w:p w14:paraId="125C366A" w14:textId="1AE37D2C" w:rsidR="0036102A" w:rsidRDefault="0036102A" w:rsidP="0036102A">
    <w:pPr>
      <w:tabs>
        <w:tab w:val="right" w:pos="8504"/>
      </w:tabs>
      <w:autoSpaceDE w:val="0"/>
      <w:autoSpaceDN w:val="0"/>
      <w:adjustRightInd w:val="0"/>
      <w:spacing w:line="176" w:lineRule="exact"/>
      <w:ind w:left="567"/>
      <w:rPr>
        <w:rFonts w:ascii="Arial" w:hAnsi="Arial" w:cs="Arial"/>
        <w:b/>
        <w:color w:val="319B42"/>
        <w:sz w:val="16"/>
        <w:szCs w:val="16"/>
      </w:rPr>
    </w:pPr>
    <w:r>
      <w:rPr>
        <w:rFonts w:ascii="Arial" w:hAnsi="Arial" w:cs="Arial"/>
        <w:b/>
        <w:color w:val="319B42"/>
        <w:sz w:val="16"/>
        <w:szCs w:val="16"/>
      </w:rPr>
      <w:t xml:space="preserve">                        </w:t>
    </w:r>
    <w:r w:rsidRPr="00454623">
      <w:rPr>
        <w:rFonts w:ascii="Arial" w:hAnsi="Arial" w:cs="Arial"/>
        <w:b/>
        <w:color w:val="319B42"/>
        <w:sz w:val="16"/>
        <w:szCs w:val="16"/>
      </w:rPr>
      <w:t>PRESIDENTE</w:t>
    </w:r>
    <w:r w:rsidRPr="00DE1A54">
      <w:rPr>
        <w:rFonts w:ascii="Arial" w:hAnsi="Arial" w:cs="Arial"/>
        <w:b/>
        <w:color w:val="319B42"/>
        <w:sz w:val="16"/>
        <w:szCs w:val="16"/>
      </w:rPr>
      <w:t xml:space="preserve"> </w:t>
    </w:r>
  </w:p>
  <w:p w14:paraId="2445CD1D" w14:textId="24DA99FE" w:rsidR="0036102A" w:rsidRDefault="0036102A" w:rsidP="0036102A">
    <w:pPr>
      <w:tabs>
        <w:tab w:val="right" w:pos="8504"/>
      </w:tabs>
      <w:autoSpaceDE w:val="0"/>
      <w:autoSpaceDN w:val="0"/>
      <w:adjustRightInd w:val="0"/>
      <w:spacing w:line="176" w:lineRule="exact"/>
      <w:ind w:left="567"/>
      <w:rPr>
        <w:rFonts w:ascii="Arial" w:hAnsi="Arial" w:cs="Arial"/>
        <w:b/>
        <w:color w:val="319B42"/>
        <w:sz w:val="16"/>
        <w:szCs w:val="16"/>
      </w:rPr>
    </w:pPr>
  </w:p>
  <w:p w14:paraId="7152718C" w14:textId="77777777" w:rsidR="0036102A" w:rsidRPr="00454623" w:rsidRDefault="0036102A" w:rsidP="0036102A">
    <w:pPr>
      <w:tabs>
        <w:tab w:val="right" w:pos="8504"/>
      </w:tabs>
      <w:autoSpaceDE w:val="0"/>
      <w:autoSpaceDN w:val="0"/>
      <w:adjustRightInd w:val="0"/>
      <w:spacing w:line="176" w:lineRule="exact"/>
      <w:ind w:left="567"/>
      <w:rPr>
        <w:rFonts w:ascii="HelveticaNeueLT Std Lt" w:hAnsi="HelveticaNeueLT Std Lt" w:cs="HelveticaNeueLT Std Lt"/>
        <w:color w:val="5E5B5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5356" w14:textId="7F9CB3FB" w:rsidR="00411B5D" w:rsidRDefault="000D450B" w:rsidP="00411B5D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>
      <w:rPr>
        <w:noProof/>
        <w:color w:val="319B42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8F1F1" wp14:editId="20B94BC6">
              <wp:simplePos x="0" y="0"/>
              <wp:positionH relativeFrom="page">
                <wp:posOffset>352425</wp:posOffset>
              </wp:positionH>
              <wp:positionV relativeFrom="paragraph">
                <wp:posOffset>-450215</wp:posOffset>
              </wp:positionV>
              <wp:extent cx="1200150" cy="676275"/>
              <wp:effectExtent l="0" t="0" r="0" b="0"/>
              <wp:wrapNone/>
              <wp:docPr id="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00150" cy="676275"/>
                      </a:xfrm>
                      <a:prstGeom prst="rect">
                        <a:avLst/>
                      </a:prstGeom>
                      <a:solidFill>
                        <a:srgbClr val="24A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D3BE8" id="Rectángulo 1" o:spid="_x0000_s1026" style="position:absolute;margin-left:27.75pt;margin-top:-35.45pt;width:94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" fillcolor="#24ac3f" stroked="f" strokeweight="1pt">
              <w10:wrap anchorx="page"/>
            </v:rect>
          </w:pict>
        </mc:Fallback>
      </mc:AlternateContent>
    </w:r>
  </w:p>
  <w:p w14:paraId="7C75AB0F" w14:textId="27DABCEE" w:rsidR="00411B5D" w:rsidRDefault="00411B5D" w:rsidP="00411B5D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</w:p>
  <w:p w14:paraId="49304DB8" w14:textId="0D8EB5DB" w:rsidR="00411B5D" w:rsidRDefault="0036102A" w:rsidP="00411B5D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 w:rsidRPr="00912C46">
      <w:rPr>
        <w:noProof/>
        <w:color w:val="319B42"/>
        <w:lang w:val="es-ES" w:eastAsia="es-ES"/>
      </w:rPr>
      <w:drawing>
        <wp:anchor distT="0" distB="0" distL="114300" distR="114300" simplePos="0" relativeHeight="251659264" behindDoc="0" locked="0" layoutInCell="1" allowOverlap="1" wp14:anchorId="59A66644" wp14:editId="04297145">
          <wp:simplePos x="0" y="0"/>
          <wp:positionH relativeFrom="margin">
            <wp:posOffset>-300009</wp:posOffset>
          </wp:positionH>
          <wp:positionV relativeFrom="paragraph">
            <wp:posOffset>64135</wp:posOffset>
          </wp:positionV>
          <wp:extent cx="1133475" cy="524510"/>
          <wp:effectExtent l="0" t="0" r="9525" b="8890"/>
          <wp:wrapNone/>
          <wp:docPr id="428" name="Imagen 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F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227292" w14:textId="77777777" w:rsidR="00411B5D" w:rsidRDefault="00411B5D" w:rsidP="00411B5D">
    <w:pPr>
      <w:pStyle w:val="Prrafobsico"/>
      <w:ind w:left="708" w:firstLine="708"/>
      <w:rPr>
        <w:rFonts w:ascii="Arial" w:hAnsi="Arial" w:cs="Arial"/>
        <w:b/>
        <w:color w:val="319B42"/>
        <w:sz w:val="18"/>
        <w:szCs w:val="18"/>
      </w:rPr>
    </w:pPr>
  </w:p>
  <w:p w14:paraId="0D922601" w14:textId="77777777" w:rsidR="00411B5D" w:rsidRDefault="00411B5D" w:rsidP="00411B5D">
    <w:pPr>
      <w:pStyle w:val="Prrafobsico"/>
      <w:ind w:left="708" w:firstLine="708"/>
      <w:rPr>
        <w:rFonts w:ascii="Arial" w:hAnsi="Arial" w:cs="Arial"/>
        <w:b/>
        <w:color w:val="319B42"/>
        <w:sz w:val="18"/>
        <w:szCs w:val="18"/>
      </w:rPr>
    </w:pPr>
  </w:p>
  <w:p w14:paraId="3AC8BB79" w14:textId="5E9F2717" w:rsidR="00454623" w:rsidRPr="00454623" w:rsidRDefault="0036102A" w:rsidP="00454623">
    <w:pPr>
      <w:tabs>
        <w:tab w:val="right" w:pos="8504"/>
      </w:tabs>
      <w:autoSpaceDE w:val="0"/>
      <w:autoSpaceDN w:val="0"/>
      <w:adjustRightInd w:val="0"/>
      <w:spacing w:line="176" w:lineRule="exact"/>
      <w:ind w:left="567"/>
      <w:rPr>
        <w:rFonts w:ascii="HelveticaNeueLT Std Lt" w:hAnsi="HelveticaNeueLT Std Lt" w:cs="HelveticaNeueLT Std Lt"/>
        <w:color w:val="5E5B5B"/>
        <w:sz w:val="16"/>
        <w:szCs w:val="16"/>
      </w:rPr>
    </w:pPr>
    <w:r>
      <w:rPr>
        <w:rFonts w:ascii="Arial" w:hAnsi="Arial" w:cs="Arial"/>
        <w:b/>
        <w:color w:val="319B42"/>
        <w:sz w:val="16"/>
        <w:szCs w:val="16"/>
      </w:rPr>
      <w:t xml:space="preserve">                        </w:t>
    </w:r>
    <w:r w:rsidR="00454623" w:rsidRPr="00454623">
      <w:rPr>
        <w:rFonts w:ascii="Arial" w:hAnsi="Arial" w:cs="Arial"/>
        <w:b/>
        <w:color w:val="319B42"/>
        <w:sz w:val="16"/>
        <w:szCs w:val="16"/>
      </w:rPr>
      <w:t>PRESIDENTE</w:t>
    </w:r>
    <w:r w:rsidR="00411B5D" w:rsidRPr="00DE1A54">
      <w:rPr>
        <w:rFonts w:ascii="Arial" w:hAnsi="Arial" w:cs="Arial"/>
        <w:b/>
        <w:color w:val="319B42"/>
        <w:sz w:val="16"/>
        <w:szCs w:val="16"/>
      </w:rPr>
      <w:t xml:space="preserve"> </w:t>
    </w:r>
  </w:p>
  <w:p w14:paraId="41CCD2E5" w14:textId="77777777" w:rsidR="00411B5D" w:rsidRPr="00DE1A54" w:rsidRDefault="00411B5D" w:rsidP="00411B5D">
    <w:pPr>
      <w:pStyle w:val="Prrafobsico"/>
      <w:ind w:left="708" w:hanging="141"/>
      <w:rPr>
        <w:rFonts w:ascii="Arial" w:hAnsi="Arial" w:cs="Arial"/>
        <w:b/>
        <w:color w:val="319B42"/>
        <w:sz w:val="16"/>
        <w:szCs w:val="16"/>
      </w:rPr>
    </w:pPr>
  </w:p>
  <w:p w14:paraId="69C36F09" w14:textId="77777777" w:rsidR="00411B5D" w:rsidRPr="00411B5D" w:rsidRDefault="00411B5D" w:rsidP="00411B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685"/>
    <w:multiLevelType w:val="hybridMultilevel"/>
    <w:tmpl w:val="35102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1234"/>
    <w:multiLevelType w:val="hybridMultilevel"/>
    <w:tmpl w:val="91BA24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C424F"/>
    <w:multiLevelType w:val="hybridMultilevel"/>
    <w:tmpl w:val="3802F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90461"/>
    <w:multiLevelType w:val="hybridMultilevel"/>
    <w:tmpl w:val="4BE89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D3D0C"/>
    <w:multiLevelType w:val="hybridMultilevel"/>
    <w:tmpl w:val="7060A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60069">
    <w:abstractNumId w:val="4"/>
  </w:num>
  <w:num w:numId="2" w16cid:durableId="1798645720">
    <w:abstractNumId w:val="1"/>
  </w:num>
  <w:num w:numId="3" w16cid:durableId="1387147092">
    <w:abstractNumId w:val="3"/>
  </w:num>
  <w:num w:numId="4" w16cid:durableId="1503397829">
    <w:abstractNumId w:val="2"/>
  </w:num>
  <w:num w:numId="5" w16cid:durableId="10210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82"/>
    <w:rsid w:val="000309D9"/>
    <w:rsid w:val="00031E66"/>
    <w:rsid w:val="00051938"/>
    <w:rsid w:val="000B7F84"/>
    <w:rsid w:val="000D450B"/>
    <w:rsid w:val="000E300F"/>
    <w:rsid w:val="00113D27"/>
    <w:rsid w:val="002B0607"/>
    <w:rsid w:val="00314843"/>
    <w:rsid w:val="0031630B"/>
    <w:rsid w:val="003370DA"/>
    <w:rsid w:val="00360E9C"/>
    <w:rsid w:val="0036102A"/>
    <w:rsid w:val="00382246"/>
    <w:rsid w:val="00390999"/>
    <w:rsid w:val="00392FA0"/>
    <w:rsid w:val="00411B5D"/>
    <w:rsid w:val="00430B44"/>
    <w:rsid w:val="00454623"/>
    <w:rsid w:val="004A72B8"/>
    <w:rsid w:val="004B1B33"/>
    <w:rsid w:val="004E02A1"/>
    <w:rsid w:val="004F0EE9"/>
    <w:rsid w:val="00600F2E"/>
    <w:rsid w:val="00612960"/>
    <w:rsid w:val="00634E94"/>
    <w:rsid w:val="006D4B74"/>
    <w:rsid w:val="007118B8"/>
    <w:rsid w:val="00722382"/>
    <w:rsid w:val="007234B3"/>
    <w:rsid w:val="00724969"/>
    <w:rsid w:val="00754079"/>
    <w:rsid w:val="007869D6"/>
    <w:rsid w:val="007F3D07"/>
    <w:rsid w:val="008363E5"/>
    <w:rsid w:val="008A5742"/>
    <w:rsid w:val="008D13F2"/>
    <w:rsid w:val="00912C46"/>
    <w:rsid w:val="0091631B"/>
    <w:rsid w:val="00933759"/>
    <w:rsid w:val="00952F96"/>
    <w:rsid w:val="0097775F"/>
    <w:rsid w:val="00A266A1"/>
    <w:rsid w:val="00A849EA"/>
    <w:rsid w:val="00AA6039"/>
    <w:rsid w:val="00AD6AB7"/>
    <w:rsid w:val="00AD7D39"/>
    <w:rsid w:val="00B26FBA"/>
    <w:rsid w:val="00B41FC3"/>
    <w:rsid w:val="00B95A92"/>
    <w:rsid w:val="00C52C1E"/>
    <w:rsid w:val="00C9501F"/>
    <w:rsid w:val="00CA73D6"/>
    <w:rsid w:val="00CC5FCB"/>
    <w:rsid w:val="00D91E76"/>
    <w:rsid w:val="00DC66DB"/>
    <w:rsid w:val="00DE1A54"/>
    <w:rsid w:val="00E73A8C"/>
    <w:rsid w:val="00E903B3"/>
    <w:rsid w:val="00E9643B"/>
    <w:rsid w:val="00EA7C37"/>
    <w:rsid w:val="00ED73CF"/>
    <w:rsid w:val="00F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2000A"/>
  <w15:docId w15:val="{05CBE5DB-5806-439F-BCB4-B393DF7A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3148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nhideWhenUsed/>
    <w:rsid w:val="003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14843"/>
  </w:style>
  <w:style w:type="paragraph" w:styleId="Piedepgina">
    <w:name w:val="footer"/>
    <w:basedOn w:val="Normal"/>
    <w:link w:val="PiedepginaCar"/>
    <w:uiPriority w:val="99"/>
    <w:unhideWhenUsed/>
    <w:rsid w:val="003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843"/>
  </w:style>
  <w:style w:type="character" w:styleId="Hipervnculo">
    <w:name w:val="Hyperlink"/>
    <w:basedOn w:val="Fuentedeprrafopredeter"/>
    <w:uiPriority w:val="99"/>
    <w:semiHidden/>
    <w:unhideWhenUsed/>
    <w:rsid w:val="00AA6039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A5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ormal N3,Arial 8,List Paragraph,List Paragraph1,Párrafo de lista1,Bullet,Párrafo de lista11,Antes de enumeración"/>
    <w:basedOn w:val="Normal"/>
    <w:link w:val="PrrafodelistaCar"/>
    <w:uiPriority w:val="34"/>
    <w:qFormat/>
    <w:rsid w:val="0036102A"/>
    <w:pPr>
      <w:ind w:left="720"/>
      <w:contextualSpacing/>
    </w:pPr>
  </w:style>
  <w:style w:type="character" w:customStyle="1" w:styleId="PrrafodelistaCar">
    <w:name w:val="Párrafo de lista Car"/>
    <w:aliases w:val="Normal N3 Car,Arial 8 Car,List Paragraph Car,List Paragraph1 Car,Párrafo de lista1 Car,Bullet Car,Párrafo de lista11 Car,Antes de enumeración Car"/>
    <w:link w:val="Prrafodelista"/>
    <w:uiPriority w:val="34"/>
    <w:locked/>
    <w:rsid w:val="0036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1186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</dc:creator>
  <cp:lastModifiedBy>Blanca Benavent García</cp:lastModifiedBy>
  <cp:revision>3</cp:revision>
  <cp:lastPrinted>2022-12-13T15:18:00Z</cp:lastPrinted>
  <dcterms:created xsi:type="dcterms:W3CDTF">2022-12-13T16:10:00Z</dcterms:created>
  <dcterms:modified xsi:type="dcterms:W3CDTF">2022-12-15T10:06:00Z</dcterms:modified>
</cp:coreProperties>
</file>